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286B4" w14:textId="77777777" w:rsidR="000772A4" w:rsidRPr="000772A4" w:rsidRDefault="000772A4" w:rsidP="001072F9">
      <w:pPr>
        <w:spacing w:before="100" w:beforeAutospacing="1" w:after="100" w:afterAutospacing="1" w:line="480" w:lineRule="auto"/>
        <w:jc w:val="center"/>
        <w:rPr>
          <w:rFonts w:ascii="Times New Roman" w:eastAsia="Times New Roman" w:hAnsi="Times New Roman" w:cs="Times New Roman"/>
          <w:sz w:val="24"/>
          <w:szCs w:val="24"/>
        </w:rPr>
      </w:pPr>
      <w:r w:rsidRPr="000772A4">
        <w:rPr>
          <w:rFonts w:ascii="Times New Roman" w:eastAsia="Times New Roman" w:hAnsi="Times New Roman" w:cs="Times New Roman"/>
          <w:b/>
          <w:bCs/>
          <w:sz w:val="24"/>
          <w:szCs w:val="24"/>
        </w:rPr>
        <w:t>Executive Summary</w:t>
      </w:r>
    </w:p>
    <w:p w14:paraId="77866C79" w14:textId="548D041C" w:rsidR="000772A4" w:rsidRPr="000772A4" w:rsidRDefault="005771DF" w:rsidP="007966A7">
      <w:pPr>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Leadership and Peer Support of Surgeons Post-Adverse Event</w:t>
      </w:r>
      <w:r w:rsidR="00322CF1">
        <w:rPr>
          <w:rFonts w:ascii="Times New Roman" w:eastAsia="Times New Roman" w:hAnsi="Times New Roman" w:cs="Times New Roman"/>
          <w:sz w:val="24"/>
          <w:szCs w:val="24"/>
        </w:rPr>
        <w:t>.</w:t>
      </w:r>
    </w:p>
    <w:p w14:paraId="3606DF18" w14:textId="69CC5959" w:rsidR="009E0E27" w:rsidRPr="008A119A" w:rsidRDefault="000772A4" w:rsidP="008A119A">
      <w:pPr>
        <w:spacing w:line="480" w:lineRule="auto"/>
        <w:ind w:firstLine="720"/>
        <w:rPr>
          <w:rFonts w:ascii="Times New Roman" w:hAnsi="Times New Roman" w:cs="Times New Roman"/>
          <w:color w:val="000000" w:themeColor="text1"/>
        </w:rPr>
      </w:pPr>
      <w:r w:rsidRPr="000772A4">
        <w:rPr>
          <w:rFonts w:ascii="Times New Roman" w:eastAsia="Times New Roman" w:hAnsi="Times New Roman" w:cs="Times New Roman"/>
          <w:b/>
          <w:bCs/>
          <w:sz w:val="24"/>
          <w:szCs w:val="24"/>
        </w:rPr>
        <w:t xml:space="preserve">Problem Statement: </w:t>
      </w:r>
      <w:r w:rsidR="00AB730D">
        <w:rPr>
          <w:rFonts w:ascii="Times New Roman" w:hAnsi="Times New Roman" w:cs="Times New Roman"/>
          <w:sz w:val="24"/>
          <w:szCs w:val="24"/>
        </w:rPr>
        <w:t>This dissertation addresses the general problem of a nationwide surgeon shortage (Mahoney et al., 2020; Oslock et al., 2022)</w:t>
      </w:r>
      <w:r w:rsidR="00C07835">
        <w:rPr>
          <w:rFonts w:ascii="Times New Roman" w:hAnsi="Times New Roman" w:cs="Times New Roman"/>
          <w:sz w:val="24"/>
          <w:szCs w:val="24"/>
        </w:rPr>
        <w:t xml:space="preserve"> and the specific problem of a lack of scholarly consensus </w:t>
      </w:r>
      <w:r w:rsidR="0094493F">
        <w:rPr>
          <w:rFonts w:ascii="Times New Roman" w:hAnsi="Times New Roman" w:cs="Times New Roman"/>
          <w:sz w:val="24"/>
          <w:szCs w:val="24"/>
        </w:rPr>
        <w:t xml:space="preserve">on best practices for supportive peer, leadership, and institutional actions after adverse events </w:t>
      </w:r>
      <w:r w:rsidR="0094493F" w:rsidRPr="007966A7">
        <w:rPr>
          <w:rFonts w:ascii="Times New Roman" w:hAnsi="Times New Roman" w:cs="Times New Roman"/>
          <w:color w:val="000000" w:themeColor="text1"/>
        </w:rPr>
        <w:t>(Busch et al., 2020; Chan et al., 2017; Finney et al., 2021; Harrison et al., 2014; Muethel et al., 2023; Neft et al., 2022; Rivera-Chiauzzi et al., 2022; Sexton et al., 2021; Seys et al., 2023; Wade et al., 2022).</w:t>
      </w:r>
      <w:r w:rsidR="00AF70F4" w:rsidRPr="007966A7">
        <w:rPr>
          <w:rFonts w:ascii="Times New Roman" w:hAnsi="Times New Roman" w:cs="Times New Roman"/>
          <w:sz w:val="24"/>
          <w:szCs w:val="24"/>
        </w:rPr>
        <w:t xml:space="preserve">. </w:t>
      </w:r>
    </w:p>
    <w:p w14:paraId="187F1994" w14:textId="77777777" w:rsidR="009E0E27" w:rsidRPr="00F40B2C" w:rsidRDefault="009E0E27" w:rsidP="00AB730D">
      <w:pPr>
        <w:spacing w:line="480" w:lineRule="auto"/>
        <w:ind w:left="720"/>
        <w:rPr>
          <w:rFonts w:ascii="Times New Roman" w:hAnsi="Times New Roman" w:cs="Times New Roman"/>
          <w:b/>
          <w:bCs/>
          <w:sz w:val="24"/>
          <w:szCs w:val="24"/>
        </w:rPr>
      </w:pPr>
      <w:r w:rsidRPr="00F40B2C">
        <w:rPr>
          <w:rFonts w:ascii="Times New Roman" w:hAnsi="Times New Roman" w:cs="Times New Roman"/>
          <w:b/>
          <w:bCs/>
          <w:sz w:val="24"/>
          <w:szCs w:val="24"/>
        </w:rPr>
        <w:t xml:space="preserve">Literature Review: </w:t>
      </w:r>
    </w:p>
    <w:p w14:paraId="3A3380DF" w14:textId="443BB575" w:rsidR="009E0E27" w:rsidRPr="00A05508" w:rsidRDefault="009E0E27" w:rsidP="00A05508">
      <w:pPr>
        <w:pStyle w:val="ListParagraph"/>
        <w:numPr>
          <w:ilvl w:val="0"/>
          <w:numId w:val="10"/>
        </w:numPr>
        <w:spacing w:after="0" w:line="276" w:lineRule="auto"/>
        <w:rPr>
          <w:rFonts w:ascii="Times New Roman" w:eastAsiaTheme="minorEastAsia" w:hAnsi="Times New Roman" w:cs="Times New Roman"/>
          <w:color w:val="000000" w:themeColor="text1"/>
          <w:kern w:val="24"/>
          <w:sz w:val="24"/>
          <w:szCs w:val="24"/>
        </w:rPr>
      </w:pPr>
      <w:r w:rsidRPr="00A05508">
        <w:rPr>
          <w:rFonts w:ascii="Times New Roman" w:eastAsiaTheme="minorEastAsia" w:hAnsi="Times New Roman" w:cs="Times New Roman"/>
          <w:color w:val="000000" w:themeColor="text1"/>
          <w:kern w:val="24"/>
          <w:sz w:val="24"/>
          <w:szCs w:val="24"/>
        </w:rPr>
        <w:t>Surgeons are prone to burnout due to the overwhelming need and other inherent occupational stressors (Shanafelt et al. 2009)</w:t>
      </w:r>
      <w:r w:rsidR="00CE1AF6">
        <w:rPr>
          <w:rFonts w:ascii="Times New Roman" w:eastAsiaTheme="minorEastAsia" w:hAnsi="Times New Roman" w:cs="Times New Roman"/>
          <w:color w:val="000000" w:themeColor="text1"/>
          <w:kern w:val="24"/>
          <w:sz w:val="24"/>
          <w:szCs w:val="24"/>
        </w:rPr>
        <w:t>.</w:t>
      </w:r>
    </w:p>
    <w:p w14:paraId="47499F4E" w14:textId="77777777" w:rsidR="009E0E27" w:rsidRPr="009E0E27" w:rsidRDefault="009E0E27" w:rsidP="003E4FAC">
      <w:pPr>
        <w:spacing w:after="0" w:line="276" w:lineRule="auto"/>
        <w:contextualSpacing/>
        <w:rPr>
          <w:rFonts w:ascii="Times New Roman" w:eastAsia="Times New Roman" w:hAnsi="Times New Roman" w:cs="Times New Roman"/>
          <w:color w:val="A02B93"/>
          <w:sz w:val="24"/>
          <w:szCs w:val="24"/>
        </w:rPr>
      </w:pPr>
    </w:p>
    <w:p w14:paraId="64E3C9F2" w14:textId="77777777" w:rsidR="009E0E27" w:rsidRPr="00A05508" w:rsidRDefault="009E0E27" w:rsidP="00A05508">
      <w:pPr>
        <w:pStyle w:val="ListParagraph"/>
        <w:numPr>
          <w:ilvl w:val="0"/>
          <w:numId w:val="10"/>
        </w:numPr>
        <w:spacing w:after="0" w:line="276" w:lineRule="auto"/>
        <w:rPr>
          <w:rFonts w:ascii="Times New Roman" w:eastAsiaTheme="minorEastAsia" w:hAnsi="Times New Roman" w:cs="Times New Roman"/>
          <w:color w:val="000000" w:themeColor="text1"/>
          <w:kern w:val="24"/>
          <w:sz w:val="24"/>
          <w:szCs w:val="24"/>
        </w:rPr>
      </w:pPr>
      <w:r w:rsidRPr="00A05508">
        <w:rPr>
          <w:rFonts w:ascii="Times New Roman" w:eastAsiaTheme="minorEastAsia" w:hAnsi="Times New Roman" w:cs="Times New Roman"/>
          <w:color w:val="000000" w:themeColor="text1"/>
          <w:kern w:val="24"/>
          <w:sz w:val="24"/>
          <w:szCs w:val="24"/>
        </w:rPr>
        <w:t xml:space="preserve">Surgeons experience a negative response to interoperative adverse events and tend to minimize their distress and overcompensate in future cases (Luu et al. 2012). </w:t>
      </w:r>
    </w:p>
    <w:p w14:paraId="0C9EDE08" w14:textId="77777777" w:rsidR="009E0E27" w:rsidRPr="009E0E27" w:rsidRDefault="009E0E27" w:rsidP="003E4FAC">
      <w:pPr>
        <w:spacing w:after="0" w:line="276" w:lineRule="auto"/>
        <w:contextualSpacing/>
        <w:rPr>
          <w:rFonts w:ascii="Times New Roman" w:eastAsia="Times New Roman" w:hAnsi="Times New Roman" w:cs="Times New Roman"/>
          <w:color w:val="A02B93"/>
          <w:sz w:val="24"/>
          <w:szCs w:val="24"/>
        </w:rPr>
      </w:pPr>
    </w:p>
    <w:p w14:paraId="11C72813" w14:textId="055CEB22" w:rsidR="009E0E27" w:rsidRPr="00A05508" w:rsidRDefault="009E0E27" w:rsidP="00A05508">
      <w:pPr>
        <w:pStyle w:val="ListParagraph"/>
        <w:numPr>
          <w:ilvl w:val="0"/>
          <w:numId w:val="10"/>
        </w:numPr>
        <w:spacing w:after="0" w:line="276" w:lineRule="auto"/>
        <w:rPr>
          <w:rFonts w:ascii="Times New Roman" w:eastAsiaTheme="minorEastAsia" w:hAnsi="Times New Roman" w:cs="Times New Roman"/>
          <w:color w:val="000000" w:themeColor="text1"/>
          <w:kern w:val="24"/>
          <w:sz w:val="24"/>
          <w:szCs w:val="24"/>
        </w:rPr>
      </w:pPr>
      <w:r w:rsidRPr="00A05508">
        <w:rPr>
          <w:rFonts w:ascii="Times New Roman" w:eastAsiaTheme="minorEastAsia" w:hAnsi="Times New Roman" w:cs="Times New Roman"/>
          <w:color w:val="000000" w:themeColor="text1"/>
          <w:kern w:val="24"/>
          <w:sz w:val="24"/>
          <w:szCs w:val="24"/>
        </w:rPr>
        <w:t>Pinto et al., 201</w:t>
      </w:r>
      <w:r w:rsidR="001346E1">
        <w:rPr>
          <w:rFonts w:ascii="Times New Roman" w:eastAsiaTheme="minorEastAsia" w:hAnsi="Times New Roman" w:cs="Times New Roman"/>
          <w:color w:val="000000" w:themeColor="text1"/>
          <w:kern w:val="24"/>
          <w:sz w:val="24"/>
          <w:szCs w:val="24"/>
        </w:rPr>
        <w:t>4</w:t>
      </w:r>
      <w:r w:rsidRPr="00A05508">
        <w:rPr>
          <w:rFonts w:ascii="Times New Roman" w:eastAsiaTheme="minorEastAsia" w:hAnsi="Times New Roman" w:cs="Times New Roman"/>
          <w:color w:val="000000" w:themeColor="text1"/>
          <w:kern w:val="24"/>
          <w:sz w:val="24"/>
          <w:szCs w:val="24"/>
        </w:rPr>
        <w:t xml:space="preserve"> report that 36.2% of surgeons experience degrees of acute traumatic stress after poor patient outcomes. </w:t>
      </w:r>
    </w:p>
    <w:p w14:paraId="531F6696" w14:textId="77777777" w:rsidR="009E0E27" w:rsidRPr="009E0E27" w:rsidRDefault="009E0E27" w:rsidP="003E4FAC">
      <w:pPr>
        <w:spacing w:after="0" w:line="276" w:lineRule="auto"/>
        <w:contextualSpacing/>
        <w:rPr>
          <w:rFonts w:ascii="Times New Roman" w:eastAsia="Times New Roman" w:hAnsi="Times New Roman" w:cs="Times New Roman"/>
          <w:color w:val="A02B93"/>
          <w:sz w:val="24"/>
          <w:szCs w:val="24"/>
        </w:rPr>
      </w:pPr>
    </w:p>
    <w:p w14:paraId="20592E9B" w14:textId="77777777" w:rsidR="009E0E27" w:rsidRPr="00A05508" w:rsidRDefault="009E0E27" w:rsidP="00A05508">
      <w:pPr>
        <w:pStyle w:val="ListParagraph"/>
        <w:numPr>
          <w:ilvl w:val="0"/>
          <w:numId w:val="10"/>
        </w:numPr>
        <w:spacing w:after="0" w:line="276" w:lineRule="auto"/>
        <w:rPr>
          <w:rFonts w:ascii="Times New Roman" w:eastAsiaTheme="minorEastAsia" w:hAnsi="Times New Roman" w:cs="Times New Roman"/>
          <w:color w:val="000000" w:themeColor="text1"/>
          <w:kern w:val="24"/>
          <w:sz w:val="24"/>
          <w:szCs w:val="24"/>
        </w:rPr>
      </w:pPr>
      <w:r w:rsidRPr="00A05508">
        <w:rPr>
          <w:rFonts w:ascii="Times New Roman" w:eastAsiaTheme="minorEastAsia" w:hAnsi="Times New Roman" w:cs="Times New Roman"/>
          <w:color w:val="000000" w:themeColor="text1"/>
          <w:kern w:val="24"/>
          <w:sz w:val="24"/>
          <w:szCs w:val="24"/>
        </w:rPr>
        <w:t>Estimates as high as 14.4% of all inpatient procedures have adverse events, significant difficulties, or errors, and 3.6% end in disability or death (Anderson, 2013).</w:t>
      </w:r>
    </w:p>
    <w:p w14:paraId="3FC3FAEA" w14:textId="77777777" w:rsidR="009E0E27" w:rsidRPr="009E0E27" w:rsidRDefault="009E0E27" w:rsidP="003E4FAC">
      <w:pPr>
        <w:spacing w:after="0" w:line="276" w:lineRule="auto"/>
        <w:contextualSpacing/>
        <w:rPr>
          <w:rFonts w:ascii="Times New Roman" w:eastAsia="Times New Roman" w:hAnsi="Times New Roman" w:cs="Times New Roman"/>
          <w:color w:val="A02B93"/>
          <w:sz w:val="24"/>
          <w:szCs w:val="24"/>
        </w:rPr>
      </w:pPr>
    </w:p>
    <w:p w14:paraId="185DB1A6" w14:textId="6B8A8E2F" w:rsidR="009E0E27" w:rsidRPr="00A05508" w:rsidRDefault="009E0E27" w:rsidP="00A05508">
      <w:pPr>
        <w:pStyle w:val="ListParagraph"/>
        <w:numPr>
          <w:ilvl w:val="0"/>
          <w:numId w:val="10"/>
        </w:numPr>
        <w:spacing w:after="0" w:line="276" w:lineRule="auto"/>
        <w:rPr>
          <w:rFonts w:ascii="Times New Roman" w:eastAsiaTheme="minorEastAsia" w:hAnsi="Times New Roman" w:cs="Times New Roman"/>
          <w:color w:val="000000" w:themeColor="text1"/>
          <w:kern w:val="24"/>
          <w:sz w:val="24"/>
          <w:szCs w:val="24"/>
        </w:rPr>
      </w:pPr>
      <w:r w:rsidRPr="00A05508">
        <w:rPr>
          <w:rFonts w:ascii="Times New Roman" w:eastAsiaTheme="minorEastAsia" w:hAnsi="Times New Roman" w:cs="Times New Roman"/>
          <w:color w:val="000000" w:themeColor="text1"/>
          <w:kern w:val="24"/>
          <w:sz w:val="24"/>
          <w:szCs w:val="24"/>
        </w:rPr>
        <w:t>Pre- and post-</w:t>
      </w:r>
      <w:r w:rsidR="00140745" w:rsidRPr="00A05508">
        <w:rPr>
          <w:rFonts w:ascii="Times New Roman" w:eastAsiaTheme="minorEastAsia" w:hAnsi="Times New Roman" w:cs="Times New Roman"/>
          <w:color w:val="000000" w:themeColor="text1"/>
          <w:kern w:val="24"/>
          <w:sz w:val="24"/>
          <w:szCs w:val="24"/>
        </w:rPr>
        <w:t xml:space="preserve">surgical </w:t>
      </w:r>
      <w:r w:rsidRPr="00A05508">
        <w:rPr>
          <w:rFonts w:ascii="Times New Roman" w:eastAsiaTheme="minorEastAsia" w:hAnsi="Times New Roman" w:cs="Times New Roman"/>
          <w:color w:val="000000" w:themeColor="text1"/>
          <w:kern w:val="24"/>
          <w:sz w:val="24"/>
          <w:szCs w:val="24"/>
        </w:rPr>
        <w:t xml:space="preserve">care </w:t>
      </w:r>
      <w:r w:rsidR="00140745" w:rsidRPr="00A05508">
        <w:rPr>
          <w:rFonts w:ascii="Times New Roman" w:eastAsiaTheme="minorEastAsia" w:hAnsi="Times New Roman" w:cs="Times New Roman"/>
          <w:color w:val="000000" w:themeColor="text1"/>
          <w:kern w:val="24"/>
          <w:sz w:val="24"/>
          <w:szCs w:val="24"/>
        </w:rPr>
        <w:t>are chronic stressors</w:t>
      </w:r>
      <w:r w:rsidRPr="00A05508">
        <w:rPr>
          <w:rFonts w:ascii="Times New Roman" w:eastAsiaTheme="minorEastAsia" w:hAnsi="Times New Roman" w:cs="Times New Roman"/>
          <w:color w:val="000000" w:themeColor="text1"/>
          <w:kern w:val="24"/>
          <w:sz w:val="24"/>
          <w:szCs w:val="24"/>
        </w:rPr>
        <w:t xml:space="preserve">, while adverse events are </w:t>
      </w:r>
      <w:r w:rsidR="00140745" w:rsidRPr="00A05508">
        <w:rPr>
          <w:rFonts w:ascii="Times New Roman" w:eastAsiaTheme="minorEastAsia" w:hAnsi="Times New Roman" w:cs="Times New Roman"/>
          <w:color w:val="000000" w:themeColor="text1"/>
          <w:kern w:val="24"/>
          <w:sz w:val="24"/>
          <w:szCs w:val="24"/>
        </w:rPr>
        <w:t>acute stressors</w:t>
      </w:r>
      <w:r w:rsidRPr="00A05508">
        <w:rPr>
          <w:rFonts w:ascii="Times New Roman" w:eastAsiaTheme="minorEastAsia" w:hAnsi="Times New Roman" w:cs="Times New Roman"/>
          <w:color w:val="000000" w:themeColor="text1"/>
          <w:kern w:val="24"/>
          <w:sz w:val="24"/>
          <w:szCs w:val="24"/>
        </w:rPr>
        <w:t xml:space="preserve"> (Orri et al. 2015).</w:t>
      </w:r>
    </w:p>
    <w:p w14:paraId="47A78A89" w14:textId="77777777" w:rsidR="00140745" w:rsidRPr="00907ADA" w:rsidRDefault="00140745" w:rsidP="003E4FAC">
      <w:pPr>
        <w:spacing w:after="0" w:line="276" w:lineRule="auto"/>
        <w:contextualSpacing/>
        <w:rPr>
          <w:rFonts w:ascii="Times New Roman" w:eastAsia="Times New Roman" w:hAnsi="Times New Roman" w:cs="Times New Roman"/>
          <w:color w:val="A02B93"/>
          <w:sz w:val="24"/>
          <w:szCs w:val="24"/>
        </w:rPr>
      </w:pPr>
    </w:p>
    <w:p w14:paraId="77C1ABE7" w14:textId="3D8F8419" w:rsidR="003A08E2" w:rsidRPr="00A05508" w:rsidRDefault="003A08E2" w:rsidP="00A05508">
      <w:pPr>
        <w:pStyle w:val="ListParagraph"/>
        <w:numPr>
          <w:ilvl w:val="0"/>
          <w:numId w:val="10"/>
        </w:numPr>
        <w:spacing w:after="0" w:line="276"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Peer Support is preferential to professional help for surgeons (Harrison et al., 2015).</w:t>
      </w:r>
    </w:p>
    <w:p w14:paraId="239595ED" w14:textId="77777777" w:rsidR="003A08E2" w:rsidRPr="003A08E2" w:rsidRDefault="003A08E2" w:rsidP="003E4FAC">
      <w:pPr>
        <w:spacing w:after="0" w:line="276" w:lineRule="auto"/>
        <w:ind w:left="-360"/>
        <w:contextualSpacing/>
        <w:rPr>
          <w:rFonts w:ascii="Times New Roman" w:eastAsia="Times New Roman" w:hAnsi="Times New Roman" w:cs="Times New Roman"/>
          <w:sz w:val="24"/>
          <w:szCs w:val="24"/>
        </w:rPr>
      </w:pPr>
    </w:p>
    <w:p w14:paraId="052D7948" w14:textId="5D7673D5" w:rsidR="003A08E2" w:rsidRPr="00A05508" w:rsidRDefault="003A08E2" w:rsidP="00A05508">
      <w:pPr>
        <w:pStyle w:val="ListParagraph"/>
        <w:numPr>
          <w:ilvl w:val="0"/>
          <w:numId w:val="10"/>
        </w:numPr>
        <w:spacing w:after="0" w:line="276"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Covid negatively impacted surgical training (Aziz et al. 2020).</w:t>
      </w:r>
    </w:p>
    <w:p w14:paraId="6E23BE41" w14:textId="77777777" w:rsidR="003A08E2" w:rsidRPr="003A08E2" w:rsidRDefault="003A08E2" w:rsidP="003E4FAC">
      <w:pPr>
        <w:spacing w:after="0" w:line="276" w:lineRule="auto"/>
        <w:contextualSpacing/>
        <w:rPr>
          <w:rFonts w:ascii="Times New Roman" w:eastAsia="Times New Roman" w:hAnsi="Times New Roman" w:cs="Times New Roman"/>
          <w:sz w:val="24"/>
          <w:szCs w:val="24"/>
        </w:rPr>
      </w:pPr>
    </w:p>
    <w:p w14:paraId="3C9264FF" w14:textId="41AD1961" w:rsidR="003A08E2" w:rsidRPr="00A05508" w:rsidRDefault="003A08E2" w:rsidP="00A05508">
      <w:pPr>
        <w:pStyle w:val="ListParagraph"/>
        <w:numPr>
          <w:ilvl w:val="0"/>
          <w:numId w:val="10"/>
        </w:numPr>
        <w:spacing w:after="0" w:line="276"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 xml:space="preserve">One in five general surgery residents will leave training to pursue alternative careers (Hewitt et </w:t>
      </w:r>
      <w:r w:rsidR="00D90C71" w:rsidRPr="00A05508">
        <w:rPr>
          <w:rFonts w:ascii="Times New Roman" w:eastAsia="Times New Roman" w:hAnsi="Times New Roman" w:cs="Times New Roman"/>
          <w:sz w:val="24"/>
          <w:szCs w:val="24"/>
        </w:rPr>
        <w:t xml:space="preserve">  </w:t>
      </w:r>
      <w:r w:rsidRPr="00A05508">
        <w:rPr>
          <w:rFonts w:ascii="Times New Roman" w:eastAsia="Times New Roman" w:hAnsi="Times New Roman" w:cs="Times New Roman"/>
          <w:sz w:val="24"/>
          <w:szCs w:val="24"/>
        </w:rPr>
        <w:t>al., 2021)</w:t>
      </w:r>
      <w:r w:rsidR="00CE1AF6">
        <w:rPr>
          <w:rFonts w:ascii="Times New Roman" w:eastAsia="Times New Roman" w:hAnsi="Times New Roman" w:cs="Times New Roman"/>
          <w:sz w:val="24"/>
          <w:szCs w:val="24"/>
        </w:rPr>
        <w:t>.</w:t>
      </w:r>
    </w:p>
    <w:p w14:paraId="5F54748B" w14:textId="77777777" w:rsidR="00D90C71" w:rsidRPr="00907ADA" w:rsidRDefault="00D90C71" w:rsidP="003E4FAC">
      <w:pPr>
        <w:spacing w:after="0" w:line="276" w:lineRule="auto"/>
        <w:contextualSpacing/>
        <w:rPr>
          <w:rFonts w:ascii="Times New Roman" w:eastAsia="Times New Roman" w:hAnsi="Times New Roman" w:cs="Times New Roman"/>
          <w:sz w:val="24"/>
          <w:szCs w:val="24"/>
        </w:rPr>
      </w:pPr>
    </w:p>
    <w:p w14:paraId="7D8FF00D" w14:textId="32679560" w:rsidR="00C734C9" w:rsidRPr="00A05508" w:rsidRDefault="00C734C9" w:rsidP="00A05508">
      <w:pPr>
        <w:pStyle w:val="ListParagraph"/>
        <w:numPr>
          <w:ilvl w:val="0"/>
          <w:numId w:val="10"/>
        </w:numPr>
        <w:spacing w:after="0" w:line="276"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 xml:space="preserve">Comparing surgeons to the general population, a history of mental disorders, alcohol abuse, and </w:t>
      </w:r>
      <w:r w:rsidR="00D90C71" w:rsidRPr="00A05508">
        <w:rPr>
          <w:rFonts w:ascii="Times New Roman" w:eastAsia="Times New Roman" w:hAnsi="Times New Roman" w:cs="Times New Roman"/>
          <w:sz w:val="24"/>
          <w:szCs w:val="24"/>
        </w:rPr>
        <w:t xml:space="preserve"> </w:t>
      </w:r>
      <w:r w:rsidRPr="00A05508">
        <w:rPr>
          <w:rFonts w:ascii="Times New Roman" w:eastAsia="Times New Roman" w:hAnsi="Times New Roman" w:cs="Times New Roman"/>
          <w:sz w:val="24"/>
          <w:szCs w:val="24"/>
        </w:rPr>
        <w:t>civil or legal issues increased the likelihood of death by suicide (Jennings et al., 2022)</w:t>
      </w:r>
      <w:r w:rsidR="00190076">
        <w:rPr>
          <w:rFonts w:ascii="Times New Roman" w:eastAsia="Times New Roman" w:hAnsi="Times New Roman" w:cs="Times New Roman"/>
          <w:sz w:val="24"/>
          <w:szCs w:val="24"/>
        </w:rPr>
        <w:t>.</w:t>
      </w:r>
    </w:p>
    <w:p w14:paraId="37928298" w14:textId="77777777" w:rsidR="00C734C9" w:rsidRPr="00C734C9" w:rsidRDefault="00C734C9" w:rsidP="003E4FAC">
      <w:pPr>
        <w:spacing w:after="0" w:line="276" w:lineRule="auto"/>
        <w:contextualSpacing/>
        <w:rPr>
          <w:rFonts w:ascii="Times New Roman" w:eastAsia="Times New Roman" w:hAnsi="Times New Roman" w:cs="Times New Roman"/>
          <w:sz w:val="24"/>
          <w:szCs w:val="24"/>
        </w:rPr>
      </w:pPr>
    </w:p>
    <w:p w14:paraId="15F91272" w14:textId="77777777" w:rsidR="00C734C9" w:rsidRPr="00A05508" w:rsidRDefault="00C734C9" w:rsidP="00A05508">
      <w:pPr>
        <w:pStyle w:val="ListParagraph"/>
        <w:numPr>
          <w:ilvl w:val="0"/>
          <w:numId w:val="10"/>
        </w:numPr>
        <w:spacing w:after="0" w:line="276"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Surgeons are 289% more likely to be sued than the average citizen (Kinslow &amp; Elkbuli, 2021).</w:t>
      </w:r>
    </w:p>
    <w:p w14:paraId="7F9E4050" w14:textId="77777777" w:rsidR="00C734C9" w:rsidRPr="00C734C9" w:rsidRDefault="00C734C9" w:rsidP="003E4FAC">
      <w:pPr>
        <w:spacing w:after="0" w:line="276" w:lineRule="auto"/>
        <w:contextualSpacing/>
        <w:rPr>
          <w:rFonts w:ascii="Times New Roman" w:eastAsia="Times New Roman" w:hAnsi="Times New Roman" w:cs="Times New Roman"/>
          <w:sz w:val="24"/>
          <w:szCs w:val="24"/>
        </w:rPr>
      </w:pPr>
    </w:p>
    <w:p w14:paraId="0F454C4D" w14:textId="10F1D6D9" w:rsidR="00C734C9" w:rsidRDefault="00C734C9" w:rsidP="00A05508">
      <w:pPr>
        <w:pStyle w:val="ListParagraph"/>
        <w:numPr>
          <w:ilvl w:val="0"/>
          <w:numId w:val="10"/>
        </w:numPr>
        <w:spacing w:after="0" w:line="276"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Medical error (in the past three months) is associated with higher rates of depression, anxiety, PTSD, and hazardous alcohol consumption in med students, surgical trainees, and practicing surgeons (Collins et al.</w:t>
      </w:r>
      <w:r w:rsidR="00190076">
        <w:rPr>
          <w:rFonts w:ascii="Times New Roman" w:eastAsia="Times New Roman" w:hAnsi="Times New Roman" w:cs="Times New Roman"/>
          <w:sz w:val="24"/>
          <w:szCs w:val="24"/>
        </w:rPr>
        <w:t>,</w:t>
      </w:r>
      <w:r w:rsidRPr="00A05508">
        <w:rPr>
          <w:rFonts w:ascii="Times New Roman" w:eastAsia="Times New Roman" w:hAnsi="Times New Roman" w:cs="Times New Roman"/>
          <w:sz w:val="24"/>
          <w:szCs w:val="24"/>
        </w:rPr>
        <w:t xml:space="preserve"> 202</w:t>
      </w:r>
      <w:r w:rsidR="00A740C5">
        <w:rPr>
          <w:rFonts w:ascii="Times New Roman" w:eastAsia="Times New Roman" w:hAnsi="Times New Roman" w:cs="Times New Roman"/>
          <w:sz w:val="24"/>
          <w:szCs w:val="24"/>
        </w:rPr>
        <w:t>1</w:t>
      </w:r>
      <w:r w:rsidRPr="00A05508">
        <w:rPr>
          <w:rFonts w:ascii="Times New Roman" w:eastAsia="Times New Roman" w:hAnsi="Times New Roman" w:cs="Times New Roman"/>
          <w:sz w:val="24"/>
          <w:szCs w:val="24"/>
        </w:rPr>
        <w:t>)</w:t>
      </w:r>
      <w:r w:rsidR="00190076">
        <w:rPr>
          <w:rFonts w:ascii="Times New Roman" w:eastAsia="Times New Roman" w:hAnsi="Times New Roman" w:cs="Times New Roman"/>
          <w:sz w:val="24"/>
          <w:szCs w:val="24"/>
        </w:rPr>
        <w:t>.</w:t>
      </w:r>
      <w:r w:rsidRPr="00A05508">
        <w:rPr>
          <w:rFonts w:ascii="Times New Roman" w:eastAsia="Times New Roman" w:hAnsi="Times New Roman" w:cs="Times New Roman"/>
          <w:sz w:val="24"/>
          <w:szCs w:val="24"/>
        </w:rPr>
        <w:t xml:space="preserve"> </w:t>
      </w:r>
    </w:p>
    <w:p w14:paraId="519B8C70" w14:textId="77777777" w:rsidR="00A05508" w:rsidRPr="00A05508" w:rsidRDefault="00A05508" w:rsidP="00A05508">
      <w:pPr>
        <w:spacing w:after="0" w:line="276" w:lineRule="auto"/>
        <w:rPr>
          <w:rFonts w:ascii="Times New Roman" w:eastAsia="Times New Roman" w:hAnsi="Times New Roman" w:cs="Times New Roman"/>
          <w:sz w:val="24"/>
          <w:szCs w:val="24"/>
        </w:rPr>
      </w:pPr>
    </w:p>
    <w:p w14:paraId="708CD1E1" w14:textId="28CBED9E" w:rsidR="00C734C9" w:rsidRPr="00A05508" w:rsidRDefault="00C734C9" w:rsidP="00A05508">
      <w:pPr>
        <w:pStyle w:val="ListParagraph"/>
        <w:numPr>
          <w:ilvl w:val="0"/>
          <w:numId w:val="10"/>
        </w:numPr>
        <w:spacing w:after="0" w:line="360"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 xml:space="preserve">Professional fulfillment is found both through the practice of surgery and by having a supportive, </w:t>
      </w:r>
      <w:r w:rsidR="00394B3D" w:rsidRPr="00A05508">
        <w:rPr>
          <w:rFonts w:ascii="Times New Roman" w:eastAsia="Times New Roman" w:hAnsi="Times New Roman" w:cs="Times New Roman"/>
          <w:sz w:val="24"/>
          <w:szCs w:val="24"/>
        </w:rPr>
        <w:t>well-functioning</w:t>
      </w:r>
      <w:r w:rsidRPr="00A05508">
        <w:rPr>
          <w:rFonts w:ascii="Times New Roman" w:eastAsia="Times New Roman" w:hAnsi="Times New Roman" w:cs="Times New Roman"/>
          <w:sz w:val="24"/>
          <w:szCs w:val="24"/>
        </w:rPr>
        <w:t xml:space="preserve"> environment and dedicated team to practice with (Walker et al., 2022)</w:t>
      </w:r>
      <w:r w:rsidR="00190076">
        <w:rPr>
          <w:rFonts w:ascii="Times New Roman" w:eastAsia="Times New Roman" w:hAnsi="Times New Roman" w:cs="Times New Roman"/>
          <w:sz w:val="24"/>
          <w:szCs w:val="24"/>
        </w:rPr>
        <w:t>.</w:t>
      </w:r>
    </w:p>
    <w:p w14:paraId="20DECAD3" w14:textId="77777777" w:rsidR="00F40B2C" w:rsidRDefault="00F40B2C" w:rsidP="003E4FAC">
      <w:pPr>
        <w:spacing w:after="0" w:line="360" w:lineRule="auto"/>
        <w:contextualSpacing/>
        <w:rPr>
          <w:rFonts w:ascii="Times New Roman" w:eastAsia="Times New Roman" w:hAnsi="Times New Roman" w:cs="Times New Roman"/>
          <w:sz w:val="24"/>
          <w:szCs w:val="24"/>
        </w:rPr>
      </w:pPr>
    </w:p>
    <w:p w14:paraId="76EB14F6" w14:textId="579EF81A" w:rsidR="00364CD6" w:rsidRPr="00A05508" w:rsidRDefault="00364CD6" w:rsidP="00A05508">
      <w:pPr>
        <w:pStyle w:val="ListParagraph"/>
        <w:numPr>
          <w:ilvl w:val="0"/>
          <w:numId w:val="10"/>
        </w:numPr>
        <w:spacing w:after="0" w:line="360"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 xml:space="preserve">Bohnen et al. (2019) explored </w:t>
      </w:r>
      <w:r w:rsidR="00907ADA" w:rsidRPr="00A05508">
        <w:rPr>
          <w:rFonts w:ascii="Times New Roman" w:eastAsia="Times New Roman" w:hAnsi="Times New Roman" w:cs="Times New Roman"/>
          <w:sz w:val="24"/>
          <w:szCs w:val="24"/>
        </w:rPr>
        <w:t>surgeons'</w:t>
      </w:r>
      <w:r w:rsidRPr="00A05508">
        <w:rPr>
          <w:rFonts w:ascii="Times New Roman" w:eastAsia="Times New Roman" w:hAnsi="Times New Roman" w:cs="Times New Roman"/>
          <w:sz w:val="24"/>
          <w:szCs w:val="24"/>
        </w:rPr>
        <w:t xml:space="preserve"> second victim experience and made a call to action for organizational response to the emotional suffering of surgeons. </w:t>
      </w:r>
    </w:p>
    <w:p w14:paraId="11E6FF50" w14:textId="77777777" w:rsidR="00F40B2C" w:rsidRDefault="00F40B2C" w:rsidP="003E4FAC">
      <w:pPr>
        <w:spacing w:after="0" w:line="360" w:lineRule="auto"/>
        <w:contextualSpacing/>
        <w:rPr>
          <w:rFonts w:ascii="Times New Roman" w:eastAsia="Times New Roman" w:hAnsi="Times New Roman" w:cs="Times New Roman"/>
          <w:sz w:val="24"/>
          <w:szCs w:val="24"/>
        </w:rPr>
      </w:pPr>
    </w:p>
    <w:p w14:paraId="339012BC" w14:textId="77777777" w:rsidR="00364CD6" w:rsidRPr="00A05508" w:rsidRDefault="00364CD6" w:rsidP="00A05508">
      <w:pPr>
        <w:pStyle w:val="ListParagraph"/>
        <w:numPr>
          <w:ilvl w:val="0"/>
          <w:numId w:val="10"/>
        </w:numPr>
        <w:spacing w:after="0" w:line="360"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Two articles regarding surgeon-specific peer support programs reported support by surgeons; however, neither reported best practices for surgeon support response (El Hechi et al., 2020; Fall et al., 2024).</w:t>
      </w:r>
    </w:p>
    <w:p w14:paraId="79924781" w14:textId="77777777" w:rsidR="00364CD6" w:rsidRPr="00364CD6" w:rsidRDefault="00364CD6" w:rsidP="003E4FAC">
      <w:pPr>
        <w:spacing w:after="0" w:line="360" w:lineRule="auto"/>
        <w:contextualSpacing/>
        <w:rPr>
          <w:rFonts w:ascii="Times New Roman" w:eastAsia="Times New Roman" w:hAnsi="Times New Roman" w:cs="Times New Roman"/>
          <w:sz w:val="24"/>
          <w:szCs w:val="24"/>
        </w:rPr>
      </w:pPr>
    </w:p>
    <w:p w14:paraId="392B8965" w14:textId="77777777" w:rsidR="00364CD6" w:rsidRPr="00A05508" w:rsidRDefault="00364CD6" w:rsidP="00A05508">
      <w:pPr>
        <w:pStyle w:val="ListParagraph"/>
        <w:numPr>
          <w:ilvl w:val="0"/>
          <w:numId w:val="10"/>
        </w:numPr>
        <w:spacing w:after="0" w:line="360"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Surgeons with burnout are more likely to experience errors, have less job satisfaction, and are more likely to consider early retirement as a solution, contributing to the surgeon shortage (Walker et al., 2022).</w:t>
      </w:r>
    </w:p>
    <w:p w14:paraId="56D9361B" w14:textId="77777777" w:rsidR="00364CD6" w:rsidRPr="00364CD6" w:rsidRDefault="00364CD6" w:rsidP="003E4FAC">
      <w:pPr>
        <w:spacing w:after="0" w:line="360" w:lineRule="auto"/>
        <w:contextualSpacing/>
        <w:rPr>
          <w:rFonts w:ascii="Times New Roman" w:eastAsia="Times New Roman" w:hAnsi="Times New Roman" w:cs="Times New Roman"/>
          <w:sz w:val="24"/>
          <w:szCs w:val="24"/>
        </w:rPr>
      </w:pPr>
    </w:p>
    <w:p w14:paraId="5642AC06" w14:textId="77777777" w:rsidR="00364CD6" w:rsidRPr="00A05508" w:rsidRDefault="00364CD6" w:rsidP="00A05508">
      <w:pPr>
        <w:pStyle w:val="ListParagraph"/>
        <w:numPr>
          <w:ilvl w:val="0"/>
          <w:numId w:val="10"/>
        </w:numPr>
        <w:spacing w:after="0" w:line="360" w:lineRule="auto"/>
        <w:rPr>
          <w:rFonts w:ascii="Times New Roman" w:eastAsia="Times New Roman" w:hAnsi="Times New Roman" w:cs="Times New Roman"/>
          <w:sz w:val="24"/>
          <w:szCs w:val="24"/>
        </w:rPr>
      </w:pPr>
      <w:r w:rsidRPr="00A05508">
        <w:rPr>
          <w:rFonts w:ascii="Times New Roman" w:eastAsia="Times New Roman" w:hAnsi="Times New Roman" w:cs="Times New Roman"/>
          <w:sz w:val="24"/>
          <w:szCs w:val="24"/>
        </w:rPr>
        <w:t>Senior surgical leadership engagement and the provision of resources improve patient outcomes and surgical safety (Hu et al., 2020).</w:t>
      </w:r>
    </w:p>
    <w:p w14:paraId="358AA26F" w14:textId="77777777" w:rsidR="003A08E2" w:rsidRPr="003A08E2" w:rsidRDefault="003A08E2" w:rsidP="003E4FAC">
      <w:pPr>
        <w:spacing w:after="0" w:line="276" w:lineRule="auto"/>
        <w:ind w:left="360"/>
        <w:contextualSpacing/>
        <w:rPr>
          <w:rFonts w:ascii="Times New Roman" w:eastAsia="Times New Roman" w:hAnsi="Times New Roman" w:cs="Times New Roman"/>
          <w:sz w:val="24"/>
          <w:szCs w:val="24"/>
        </w:rPr>
      </w:pPr>
    </w:p>
    <w:p w14:paraId="6837F1CB" w14:textId="77777777" w:rsidR="009E0E27" w:rsidRPr="009E0E27" w:rsidRDefault="009E0E27" w:rsidP="003A08E2">
      <w:pPr>
        <w:spacing w:after="0" w:line="216" w:lineRule="auto"/>
        <w:contextualSpacing/>
        <w:rPr>
          <w:rFonts w:ascii="Times New Roman" w:eastAsia="Times New Roman" w:hAnsi="Times New Roman" w:cs="Times New Roman"/>
          <w:color w:val="A02B93"/>
        </w:rPr>
      </w:pPr>
    </w:p>
    <w:p w14:paraId="547D98E4" w14:textId="288E2E43" w:rsidR="007966A7" w:rsidRPr="007966A7" w:rsidRDefault="007966A7" w:rsidP="008B34D9">
      <w:pPr>
        <w:spacing w:line="480" w:lineRule="auto"/>
        <w:ind w:firstLine="720"/>
        <w:rPr>
          <w:rFonts w:ascii="Times New Roman" w:hAnsi="Times New Roman" w:cs="Times New Roman"/>
          <w:sz w:val="24"/>
          <w:szCs w:val="24"/>
        </w:rPr>
      </w:pPr>
      <w:r w:rsidRPr="007966A7">
        <w:rPr>
          <w:rFonts w:ascii="Times New Roman" w:hAnsi="Times New Roman" w:cs="Times New Roman"/>
          <w:sz w:val="24"/>
          <w:szCs w:val="24"/>
        </w:rPr>
        <w:t xml:space="preserve">This surgeon shortage is exacerbated by the high number of surgeons leaving the practice of surgery and a stagnant number of surgical trainees (Mahoney et al., 2020; Oslock et al., 2022). In addition, surgeons leave the surgery practice due to burnout as a result of factors such as a lack of professional fulfillment </w:t>
      </w:r>
      <w:bookmarkStart w:id="0" w:name="_Hlk165454925"/>
      <w:r w:rsidRPr="007966A7">
        <w:rPr>
          <w:rFonts w:ascii="Times New Roman" w:hAnsi="Times New Roman" w:cs="Times New Roman"/>
          <w:sz w:val="24"/>
          <w:szCs w:val="24"/>
        </w:rPr>
        <w:t>(Balch &amp; Shanafelt, 2010; Etheridge et al., 2023; Shanafelt et al., 2009; Sauder et al., 2022)</w:t>
      </w:r>
      <w:bookmarkEnd w:id="0"/>
      <w:r w:rsidRPr="007966A7">
        <w:rPr>
          <w:rFonts w:ascii="Times New Roman" w:hAnsi="Times New Roman" w:cs="Times New Roman"/>
          <w:sz w:val="24"/>
          <w:szCs w:val="24"/>
        </w:rPr>
        <w:t xml:space="preserve"> and the combined effects of experiencing occupational hazards (Burns et al., 2021; Vitous et al., 2021; Walker et al., 2022). Adverse events and patient complications are two occupational hazards that negatively impact surgeons (Berman et al., 2020; Kaur et al., 2019; Lin et al., 2023; Patel et al., 2010; Pinto, 2014; Seys et al., 2012; Srinivasa et al., 2019).</w:t>
      </w:r>
      <w:r w:rsidRPr="007966A7">
        <w:rPr>
          <w:rFonts w:ascii="Times New Roman" w:hAnsi="Times New Roman" w:cs="Times New Roman"/>
          <w:color w:val="2D3B45"/>
          <w:sz w:val="24"/>
          <w:szCs w:val="24"/>
        </w:rPr>
        <w:t xml:space="preserve"> </w:t>
      </w:r>
    </w:p>
    <w:p w14:paraId="715F3D6A" w14:textId="5AD55929" w:rsidR="007966A7" w:rsidRPr="007966A7" w:rsidRDefault="007966A7" w:rsidP="007966A7">
      <w:pPr>
        <w:spacing w:line="480" w:lineRule="auto"/>
        <w:ind w:firstLine="720"/>
        <w:rPr>
          <w:rFonts w:ascii="Times New Roman" w:hAnsi="Times New Roman" w:cs="Times New Roman"/>
          <w:sz w:val="24"/>
          <w:szCs w:val="24"/>
        </w:rPr>
      </w:pPr>
      <w:r w:rsidRPr="007966A7">
        <w:rPr>
          <w:rFonts w:ascii="Times New Roman" w:hAnsi="Times New Roman" w:cs="Times New Roman"/>
          <w:sz w:val="24"/>
          <w:szCs w:val="24"/>
        </w:rPr>
        <w:t xml:space="preserve">This is important because when adverse events occur, surgeons experience an acute stress reaction called a </w:t>
      </w:r>
      <w:r w:rsidRPr="007966A7">
        <w:rPr>
          <w:rFonts w:ascii="Times New Roman" w:hAnsi="Times New Roman" w:cs="Times New Roman"/>
          <w:i/>
          <w:iCs/>
          <w:sz w:val="24"/>
          <w:szCs w:val="24"/>
        </w:rPr>
        <w:t>second victim</w:t>
      </w:r>
      <w:r w:rsidRPr="007966A7">
        <w:rPr>
          <w:rFonts w:ascii="Times New Roman" w:hAnsi="Times New Roman" w:cs="Times New Roman"/>
          <w:sz w:val="24"/>
          <w:szCs w:val="24"/>
        </w:rPr>
        <w:t xml:space="preserve"> </w:t>
      </w:r>
      <w:r w:rsidRPr="007966A7">
        <w:rPr>
          <w:rFonts w:ascii="Times New Roman" w:hAnsi="Times New Roman" w:cs="Times New Roman"/>
          <w:i/>
          <w:iCs/>
          <w:sz w:val="24"/>
          <w:szCs w:val="24"/>
        </w:rPr>
        <w:t>response</w:t>
      </w:r>
      <w:r w:rsidRPr="007966A7">
        <w:rPr>
          <w:rFonts w:ascii="Times New Roman" w:hAnsi="Times New Roman" w:cs="Times New Roman"/>
          <w:sz w:val="24"/>
          <w:szCs w:val="24"/>
        </w:rPr>
        <w:t xml:space="preserve">, which is proven to impact them negatively (Berman et al., Bohnen et al., 2019; Busch et al., 2021; Chrouse et al., 2018; Georgiou et al., 2017; Gupta et al., 2022; Han et al., 2017; Luu et al., 2012). </w:t>
      </w:r>
    </w:p>
    <w:p w14:paraId="7AE874CC" w14:textId="77777777" w:rsidR="007966A7" w:rsidRDefault="007966A7" w:rsidP="007966A7">
      <w:pPr>
        <w:spacing w:line="480" w:lineRule="auto"/>
        <w:ind w:firstLine="720"/>
        <w:rPr>
          <w:rFonts w:ascii="Times New Roman" w:hAnsi="Times New Roman" w:cs="Times New Roman"/>
          <w:color w:val="000000" w:themeColor="text1"/>
        </w:rPr>
      </w:pPr>
      <w:r w:rsidRPr="007966A7">
        <w:rPr>
          <w:rFonts w:ascii="Times New Roman" w:hAnsi="Times New Roman" w:cs="Times New Roman"/>
          <w:sz w:val="24"/>
          <w:szCs w:val="24"/>
        </w:rPr>
        <w:t>In addition to the challenges practicing surgeons face, residents in the surgical specialty a</w:t>
      </w:r>
      <w:r w:rsidRPr="007966A7">
        <w:rPr>
          <w:rFonts w:ascii="Times New Roman" w:hAnsi="Times New Roman" w:cs="Times New Roman"/>
          <w:color w:val="2D3B45"/>
          <w:sz w:val="24"/>
          <w:szCs w:val="24"/>
        </w:rPr>
        <w:t xml:space="preserve">re also uniquely vulnerable due to the inherent invasiveness of surgery, which creates a sense of personal responsibility when patient complications, adverse events, or errors happen (Bongiovanni et al., 2015; Elmore et al., 2016; Felton et al., 2021; Jackson et al., 2019; Srinivasa et al., 2019; Sullivan et al., 2013). As a result, healthcare organizations and teaching hospitals have institutional second-victim programs (Marr et al., 2021; Wade et al., 2022). However, additional evidence on best practices for addressing the second victim phenomenon among surgeons is needed </w:t>
      </w:r>
      <w:r w:rsidRPr="007966A7">
        <w:rPr>
          <w:rFonts w:ascii="Times New Roman" w:hAnsi="Times New Roman" w:cs="Times New Roman"/>
          <w:color w:val="000000" w:themeColor="text1"/>
        </w:rPr>
        <w:t>(Busch et al., 2020; Chan et al., 2017; Finney et al., 2021; Harrison et al., 2014; Muethel et al., 2023; Neft et al., 2022; Rivera-Chiauzzi et al., 2022; Sexton et al., 2021; Seys et al., 2023; Wade et al., 2022).</w:t>
      </w:r>
    </w:p>
    <w:p w14:paraId="493296B7" w14:textId="312260E4" w:rsidR="004F016F" w:rsidRDefault="008B1E0A" w:rsidP="006C0582">
      <w:pPr>
        <w:spacing w:line="480" w:lineRule="auto"/>
        <w:rPr>
          <w:rFonts w:ascii="Times New Roman" w:hAnsi="Times New Roman" w:cs="Times New Roman"/>
          <w:sz w:val="24"/>
          <w:szCs w:val="24"/>
        </w:rPr>
      </w:pPr>
      <w:r>
        <w:rPr>
          <w:rFonts w:ascii="Times New Roman" w:eastAsia="Times New Roman" w:hAnsi="Times New Roman" w:cs="Times New Roman"/>
          <w:b/>
          <w:bCs/>
          <w:sz w:val="24"/>
          <w:szCs w:val="24"/>
        </w:rPr>
        <w:t>Method</w:t>
      </w:r>
      <w:r w:rsidR="00832A04">
        <w:rPr>
          <w:rFonts w:ascii="Times New Roman" w:eastAsia="Times New Roman" w:hAnsi="Times New Roman" w:cs="Times New Roman"/>
          <w:b/>
          <w:bCs/>
          <w:sz w:val="24"/>
          <w:szCs w:val="24"/>
        </w:rPr>
        <w:t>ology</w:t>
      </w:r>
      <w:r w:rsidR="000772A4" w:rsidRPr="000772A4">
        <w:rPr>
          <w:rFonts w:ascii="Times New Roman" w:eastAsia="Times New Roman" w:hAnsi="Times New Roman" w:cs="Times New Roman"/>
          <w:b/>
          <w:bCs/>
          <w:sz w:val="24"/>
          <w:szCs w:val="24"/>
        </w:rPr>
        <w:t>:</w:t>
      </w:r>
      <w:r w:rsidR="00253A6E">
        <w:rPr>
          <w:rFonts w:ascii="Times New Roman" w:eastAsia="Times New Roman" w:hAnsi="Times New Roman" w:cs="Times New Roman"/>
          <w:sz w:val="24"/>
          <w:szCs w:val="24"/>
        </w:rPr>
        <w:t xml:space="preserve"> </w:t>
      </w:r>
      <w:r w:rsidR="00433166" w:rsidRPr="00433166">
        <w:rPr>
          <w:rFonts w:ascii="Times New Roman" w:hAnsi="Times New Roman" w:cs="Times New Roman"/>
          <w:sz w:val="24"/>
          <w:szCs w:val="24"/>
        </w:rPr>
        <w:t xml:space="preserve">This qualitative phenomenological study will </w:t>
      </w:r>
      <w:r w:rsidR="008E482C">
        <w:rPr>
          <w:rFonts w:ascii="Times New Roman" w:hAnsi="Times New Roman" w:cs="Times New Roman"/>
          <w:sz w:val="24"/>
          <w:szCs w:val="24"/>
        </w:rPr>
        <w:t>interview surgeons from across the US for 15-30 minutes</w:t>
      </w:r>
      <w:r w:rsidR="00C326EA">
        <w:rPr>
          <w:rFonts w:ascii="Times New Roman" w:hAnsi="Times New Roman" w:cs="Times New Roman"/>
          <w:sz w:val="24"/>
          <w:szCs w:val="24"/>
        </w:rPr>
        <w:t xml:space="preserve"> to address the following </w:t>
      </w:r>
      <w:r w:rsidR="008E482C">
        <w:rPr>
          <w:rFonts w:ascii="Times New Roman" w:hAnsi="Times New Roman" w:cs="Times New Roman"/>
          <w:sz w:val="24"/>
          <w:szCs w:val="24"/>
        </w:rPr>
        <w:t>research questions.</w:t>
      </w:r>
    </w:p>
    <w:p w14:paraId="78D29C09" w14:textId="77777777" w:rsidR="00533576" w:rsidRDefault="000772A4" w:rsidP="00533576">
      <w:pPr>
        <w:spacing w:before="100" w:beforeAutospacing="1" w:after="100" w:afterAutospacing="1" w:line="480" w:lineRule="auto"/>
        <w:rPr>
          <w:rFonts w:ascii="Times New Roman" w:eastAsia="Times New Roman" w:hAnsi="Times New Roman" w:cs="Times New Roman"/>
          <w:b/>
          <w:bCs/>
          <w:sz w:val="24"/>
          <w:szCs w:val="24"/>
        </w:rPr>
      </w:pPr>
      <w:r w:rsidRPr="000772A4">
        <w:rPr>
          <w:rFonts w:ascii="Times New Roman" w:eastAsia="Times New Roman" w:hAnsi="Times New Roman" w:cs="Times New Roman"/>
          <w:b/>
          <w:bCs/>
          <w:sz w:val="24"/>
          <w:szCs w:val="24"/>
        </w:rPr>
        <w:t>Research Questions</w:t>
      </w:r>
      <w:r w:rsidR="00533576">
        <w:rPr>
          <w:rFonts w:ascii="Times New Roman" w:eastAsia="Times New Roman" w:hAnsi="Times New Roman" w:cs="Times New Roman"/>
          <w:b/>
          <w:bCs/>
          <w:sz w:val="24"/>
          <w:szCs w:val="24"/>
        </w:rPr>
        <w:t>:</w:t>
      </w:r>
      <w:bookmarkStart w:id="1" w:name="_Hlk94029883"/>
    </w:p>
    <w:p w14:paraId="570FF7D4" w14:textId="77777777" w:rsidR="004832B9" w:rsidRPr="004832B9" w:rsidRDefault="004832B9" w:rsidP="004832B9">
      <w:pPr>
        <w:spacing w:line="480" w:lineRule="auto"/>
        <w:ind w:firstLine="720"/>
        <w:rPr>
          <w:rFonts w:ascii="Times New Roman" w:hAnsi="Times New Roman" w:cs="Times New Roman"/>
          <w:sz w:val="24"/>
          <w:szCs w:val="24"/>
        </w:rPr>
      </w:pPr>
      <w:r w:rsidRPr="004832B9">
        <w:rPr>
          <w:rFonts w:ascii="Times New Roman" w:hAnsi="Times New Roman" w:cs="Times New Roman"/>
          <w:sz w:val="24"/>
          <w:szCs w:val="24"/>
        </w:rPr>
        <w:t xml:space="preserve">RQ1: What are the best practices for helpful conversations/actions amongst surgeons and surgical trainees following an interoperative adverse event or medical error? </w:t>
      </w:r>
    </w:p>
    <w:p w14:paraId="1AA361A6" w14:textId="77777777" w:rsidR="004832B9" w:rsidRPr="004832B9" w:rsidRDefault="004832B9" w:rsidP="004832B9">
      <w:pPr>
        <w:spacing w:line="480" w:lineRule="auto"/>
        <w:rPr>
          <w:rFonts w:ascii="Times New Roman" w:hAnsi="Times New Roman" w:cs="Times New Roman"/>
          <w:sz w:val="24"/>
          <w:szCs w:val="24"/>
        </w:rPr>
      </w:pPr>
      <w:r w:rsidRPr="004832B9">
        <w:rPr>
          <w:rFonts w:ascii="Times New Roman" w:hAnsi="Times New Roman" w:cs="Times New Roman"/>
          <w:sz w:val="24"/>
          <w:szCs w:val="24"/>
        </w:rPr>
        <w:t xml:space="preserve">            Four secondary questions will be used to answer this question:</w:t>
      </w:r>
    </w:p>
    <w:p w14:paraId="08E5EAC9" w14:textId="77777777" w:rsidR="004832B9" w:rsidRPr="004832B9" w:rsidRDefault="004832B9" w:rsidP="004832B9">
      <w:pPr>
        <w:spacing w:line="480" w:lineRule="auto"/>
        <w:ind w:firstLine="720"/>
        <w:rPr>
          <w:rFonts w:ascii="Times New Roman" w:hAnsi="Times New Roman" w:cs="Times New Roman"/>
          <w:sz w:val="24"/>
          <w:szCs w:val="24"/>
        </w:rPr>
      </w:pPr>
      <w:r w:rsidRPr="004832B9">
        <w:rPr>
          <w:rFonts w:ascii="Times New Roman" w:hAnsi="Times New Roman" w:cs="Times New Roman"/>
          <w:sz w:val="24"/>
          <w:szCs w:val="24"/>
        </w:rPr>
        <w:t>RQ2: What peer words/actions do surgeons describe as most helpful after experiencing an adverse event or medical error?</w:t>
      </w:r>
    </w:p>
    <w:p w14:paraId="776CCD73" w14:textId="77777777" w:rsidR="004832B9" w:rsidRPr="004832B9" w:rsidRDefault="004832B9" w:rsidP="004832B9">
      <w:pPr>
        <w:spacing w:line="480" w:lineRule="auto"/>
        <w:ind w:firstLine="720"/>
        <w:rPr>
          <w:rFonts w:ascii="Times New Roman" w:hAnsi="Times New Roman" w:cs="Times New Roman"/>
          <w:sz w:val="24"/>
          <w:szCs w:val="24"/>
        </w:rPr>
      </w:pPr>
      <w:r w:rsidRPr="004832B9">
        <w:rPr>
          <w:rFonts w:ascii="Times New Roman" w:hAnsi="Times New Roman" w:cs="Times New Roman"/>
          <w:sz w:val="24"/>
          <w:szCs w:val="24"/>
        </w:rPr>
        <w:t>RQ3: What peer words/actions do surgical trainees describe as most helpful after experiencing an adverse event or medical error?</w:t>
      </w:r>
    </w:p>
    <w:p w14:paraId="2412A9F8" w14:textId="77777777" w:rsidR="004832B9" w:rsidRPr="004832B9" w:rsidRDefault="004832B9" w:rsidP="004832B9">
      <w:pPr>
        <w:spacing w:line="480" w:lineRule="auto"/>
        <w:ind w:firstLine="720"/>
        <w:rPr>
          <w:rFonts w:ascii="Times New Roman" w:hAnsi="Times New Roman" w:cs="Times New Roman"/>
          <w:sz w:val="24"/>
          <w:szCs w:val="24"/>
        </w:rPr>
      </w:pPr>
      <w:r w:rsidRPr="004832B9">
        <w:rPr>
          <w:rFonts w:ascii="Times New Roman" w:hAnsi="Times New Roman" w:cs="Times New Roman"/>
          <w:sz w:val="24"/>
          <w:szCs w:val="24"/>
        </w:rPr>
        <w:t xml:space="preserve">RQ4: What leadership and institutional support do surgeons consider most helpful after an adverse event or medical error? </w:t>
      </w:r>
    </w:p>
    <w:p w14:paraId="025994BB" w14:textId="12A4735E" w:rsidR="002D2696" w:rsidRDefault="004832B9" w:rsidP="00420DA1">
      <w:pPr>
        <w:spacing w:line="480" w:lineRule="auto"/>
        <w:ind w:firstLine="720"/>
        <w:rPr>
          <w:rFonts w:ascii="Times New Roman" w:hAnsi="Times New Roman" w:cs="Times New Roman"/>
          <w:sz w:val="24"/>
          <w:szCs w:val="24"/>
        </w:rPr>
      </w:pPr>
      <w:r w:rsidRPr="004832B9">
        <w:rPr>
          <w:rFonts w:ascii="Times New Roman" w:hAnsi="Times New Roman" w:cs="Times New Roman"/>
          <w:sz w:val="24"/>
          <w:szCs w:val="24"/>
        </w:rPr>
        <w:t>RQ5: What leadership and institutional support do surgical trainees consider most helpful after an adverse event or medical error?</w:t>
      </w:r>
    </w:p>
    <w:p w14:paraId="5F6E6398" w14:textId="77777777" w:rsidR="00501610" w:rsidRDefault="00501610" w:rsidP="00420DA1">
      <w:pPr>
        <w:spacing w:line="480" w:lineRule="auto"/>
        <w:ind w:firstLine="720"/>
        <w:rPr>
          <w:rFonts w:ascii="Times New Roman" w:hAnsi="Times New Roman" w:cs="Times New Roman"/>
          <w:sz w:val="24"/>
          <w:szCs w:val="24"/>
        </w:rPr>
      </w:pPr>
    </w:p>
    <w:p w14:paraId="23D1D5AB" w14:textId="63AD58F8" w:rsidR="00D570C1" w:rsidRDefault="00501610" w:rsidP="006C058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study will run from </w:t>
      </w:r>
      <w:r w:rsidR="00CE1AF6">
        <w:rPr>
          <w:rFonts w:ascii="Times New Roman" w:hAnsi="Times New Roman" w:cs="Times New Roman"/>
          <w:sz w:val="24"/>
          <w:szCs w:val="24"/>
        </w:rPr>
        <w:t>10</w:t>
      </w:r>
      <w:r>
        <w:rPr>
          <w:rFonts w:ascii="Times New Roman" w:hAnsi="Times New Roman" w:cs="Times New Roman"/>
          <w:sz w:val="24"/>
          <w:szCs w:val="24"/>
        </w:rPr>
        <w:t>/1/24 to 11/</w:t>
      </w:r>
      <w:r w:rsidR="00FD7E5C">
        <w:rPr>
          <w:rFonts w:ascii="Times New Roman" w:hAnsi="Times New Roman" w:cs="Times New Roman"/>
          <w:sz w:val="24"/>
          <w:szCs w:val="24"/>
        </w:rPr>
        <w:t>29/24</w:t>
      </w:r>
      <w:r w:rsidR="00CC7D58">
        <w:rPr>
          <w:rFonts w:ascii="Times New Roman" w:hAnsi="Times New Roman" w:cs="Times New Roman"/>
          <w:sz w:val="24"/>
          <w:szCs w:val="24"/>
        </w:rPr>
        <w:t xml:space="preserve"> and seek</w:t>
      </w:r>
      <w:r w:rsidR="00FD7E5C">
        <w:rPr>
          <w:rFonts w:ascii="Times New Roman" w:hAnsi="Times New Roman" w:cs="Times New Roman"/>
          <w:sz w:val="24"/>
          <w:szCs w:val="24"/>
        </w:rPr>
        <w:t xml:space="preserve"> 20-30 </w:t>
      </w:r>
      <w:r w:rsidR="00C65D69">
        <w:rPr>
          <w:rFonts w:ascii="Times New Roman" w:hAnsi="Times New Roman" w:cs="Times New Roman"/>
          <w:sz w:val="24"/>
          <w:szCs w:val="24"/>
        </w:rPr>
        <w:t xml:space="preserve">participants. </w:t>
      </w:r>
      <w:r w:rsidR="000A7054">
        <w:rPr>
          <w:rFonts w:ascii="Times New Roman" w:hAnsi="Times New Roman" w:cs="Times New Roman"/>
          <w:sz w:val="24"/>
          <w:szCs w:val="24"/>
        </w:rPr>
        <w:t>The PI will audio record</w:t>
      </w:r>
      <w:r w:rsidR="00CC7D58">
        <w:rPr>
          <w:rFonts w:ascii="Times New Roman" w:hAnsi="Times New Roman" w:cs="Times New Roman"/>
          <w:sz w:val="24"/>
          <w:szCs w:val="24"/>
        </w:rPr>
        <w:t xml:space="preserve">, code demographic information, </w:t>
      </w:r>
      <w:r w:rsidR="000A7054">
        <w:rPr>
          <w:rFonts w:ascii="Times New Roman" w:hAnsi="Times New Roman" w:cs="Times New Roman"/>
          <w:sz w:val="24"/>
          <w:szCs w:val="24"/>
        </w:rPr>
        <w:t>and transcribe qualitative data. The analysis will utilize Atlas TI qualitative software and be saved on a password-protected secure platform and backed up on a secure flash drive.</w:t>
      </w:r>
      <w:r w:rsidR="00AD4275">
        <w:rPr>
          <w:rFonts w:ascii="Times New Roman" w:hAnsi="Times New Roman" w:cs="Times New Roman"/>
          <w:sz w:val="24"/>
          <w:szCs w:val="24"/>
        </w:rPr>
        <w:t xml:space="preserve"> Ab</w:t>
      </w:r>
      <w:r w:rsidR="004603D1">
        <w:rPr>
          <w:rFonts w:ascii="Times New Roman" w:hAnsi="Times New Roman" w:cs="Times New Roman"/>
          <w:sz w:val="24"/>
          <w:szCs w:val="24"/>
        </w:rPr>
        <w:t xml:space="preserve">ilene Christian University Internal Review Board Approval # </w:t>
      </w:r>
      <w:r w:rsidR="004E0F86">
        <w:rPr>
          <w:rFonts w:ascii="Times New Roman" w:hAnsi="Times New Roman" w:cs="Times New Roman"/>
          <w:sz w:val="24"/>
          <w:szCs w:val="24"/>
        </w:rPr>
        <w:t>2024-168</w:t>
      </w:r>
    </w:p>
    <w:bookmarkEnd w:id="1"/>
    <w:p w14:paraId="10252F98" w14:textId="77777777" w:rsidR="000772A4" w:rsidRPr="000772A4" w:rsidRDefault="000772A4" w:rsidP="009641CE">
      <w:pPr>
        <w:spacing w:before="100" w:beforeAutospacing="1" w:after="100" w:afterAutospacing="1" w:line="480" w:lineRule="auto"/>
        <w:jc w:val="center"/>
        <w:rPr>
          <w:rFonts w:ascii="Times New Roman" w:eastAsia="Times New Roman" w:hAnsi="Times New Roman" w:cs="Times New Roman"/>
          <w:sz w:val="24"/>
          <w:szCs w:val="24"/>
        </w:rPr>
      </w:pPr>
      <w:r w:rsidRPr="000772A4">
        <w:rPr>
          <w:rFonts w:ascii="Times New Roman" w:eastAsia="Times New Roman" w:hAnsi="Times New Roman" w:cs="Times New Roman"/>
          <w:b/>
          <w:bCs/>
          <w:sz w:val="24"/>
          <w:szCs w:val="24"/>
        </w:rPr>
        <w:t>References</w:t>
      </w:r>
    </w:p>
    <w:p w14:paraId="1BE320A9" w14:textId="77777777" w:rsidR="00CB1501" w:rsidRDefault="00CB1501" w:rsidP="00CB1501">
      <w:pPr>
        <w:spacing w:line="480" w:lineRule="auto"/>
        <w:ind w:left="720" w:hanging="720"/>
        <w:contextualSpacing/>
        <w:rPr>
          <w:rStyle w:val="Hyperlink"/>
          <w:rFonts w:ascii="Times New Roman" w:hAnsi="Times New Roman" w:cs="Times New Roman"/>
          <w:sz w:val="24"/>
          <w:szCs w:val="24"/>
        </w:rPr>
      </w:pPr>
      <w:r w:rsidRPr="00CB1501">
        <w:rPr>
          <w:rFonts w:ascii="Times New Roman" w:hAnsi="Times New Roman" w:cs="Times New Roman"/>
          <w:color w:val="000000" w:themeColor="text1"/>
          <w:sz w:val="24"/>
          <w:szCs w:val="24"/>
        </w:rPr>
        <w:t>Anderson, O., Davis, R., Hanna, G.B., Vincent, C. A. (2013). Surgical adverse events: A systematic review. The American Journal of Surgery 206(2), 253-262.</w:t>
      </w:r>
      <w:r w:rsidRPr="00CB1501">
        <w:rPr>
          <w:rFonts w:ascii="Times New Roman" w:hAnsi="Times New Roman" w:cs="Times New Roman"/>
          <w:sz w:val="24"/>
          <w:szCs w:val="24"/>
        </w:rPr>
        <w:t xml:space="preserve"> </w:t>
      </w:r>
      <w:hyperlink r:id="rId6" w:history="1">
        <w:r w:rsidRPr="00CB1501">
          <w:rPr>
            <w:rStyle w:val="Hyperlink"/>
            <w:rFonts w:ascii="Times New Roman" w:hAnsi="Times New Roman" w:cs="Times New Roman"/>
            <w:sz w:val="24"/>
            <w:szCs w:val="24"/>
          </w:rPr>
          <w:t>https://www.americanjournalofsurgery.com/article/S0002-9610(13)00175-X/abstract</w:t>
        </w:r>
      </w:hyperlink>
    </w:p>
    <w:p w14:paraId="76EB47CD" w14:textId="4B8A4A1F" w:rsidR="00A94ED6" w:rsidRDefault="00A94ED6" w:rsidP="00A94ED6">
      <w:pPr>
        <w:spacing w:line="480" w:lineRule="auto"/>
        <w:ind w:left="720" w:hanging="720"/>
        <w:rPr>
          <w:rFonts w:ascii="Times New Roman" w:hAnsi="Times New Roman" w:cs="Times New Roman"/>
          <w:color w:val="000000" w:themeColor="text1"/>
          <w:sz w:val="24"/>
          <w:szCs w:val="24"/>
          <w:u w:val="single"/>
        </w:rPr>
      </w:pPr>
      <w:r w:rsidRPr="00A94ED6">
        <w:rPr>
          <w:rFonts w:ascii="Times New Roman" w:hAnsi="Times New Roman" w:cs="Times New Roman"/>
          <w:sz w:val="24"/>
          <w:szCs w:val="24"/>
        </w:rPr>
        <w:t xml:space="preserve">Aziz, H., James, T., Remulla, D., Sher, L., Geny, K., Y, Sullivan, M. E., &amp; Sheikh, M. R. (2021). Effect of COVID-19 on surgical training across the United States: A national survey of general surgery residents. </w:t>
      </w:r>
      <w:r w:rsidRPr="00A94ED6">
        <w:rPr>
          <w:rFonts w:ascii="Times New Roman" w:hAnsi="Times New Roman" w:cs="Times New Roman"/>
          <w:i/>
          <w:iCs/>
          <w:sz w:val="24"/>
          <w:szCs w:val="24"/>
        </w:rPr>
        <w:t>Journal of Surgical Education</w:t>
      </w:r>
      <w:r w:rsidRPr="00A94ED6">
        <w:rPr>
          <w:rFonts w:ascii="Times New Roman" w:hAnsi="Times New Roman" w:cs="Times New Roman"/>
          <w:sz w:val="24"/>
          <w:szCs w:val="24"/>
        </w:rPr>
        <w:t xml:space="preserve">, </w:t>
      </w:r>
      <w:r w:rsidRPr="00A94ED6">
        <w:rPr>
          <w:rFonts w:ascii="Times New Roman" w:hAnsi="Times New Roman" w:cs="Times New Roman"/>
          <w:i/>
          <w:iCs/>
          <w:sz w:val="24"/>
          <w:szCs w:val="24"/>
        </w:rPr>
        <w:t>78</w:t>
      </w:r>
      <w:r w:rsidRPr="00A94ED6">
        <w:rPr>
          <w:rFonts w:ascii="Times New Roman" w:hAnsi="Times New Roman" w:cs="Times New Roman"/>
          <w:sz w:val="24"/>
          <w:szCs w:val="24"/>
        </w:rPr>
        <w:t xml:space="preserve">(2), 431–439. </w:t>
      </w:r>
      <w:hyperlink r:id="rId7" w:history="1">
        <w:r w:rsidRPr="00A94ED6">
          <w:rPr>
            <w:rFonts w:ascii="Times New Roman" w:hAnsi="Times New Roman" w:cs="Times New Roman"/>
            <w:color w:val="000000" w:themeColor="text1"/>
            <w:sz w:val="24"/>
            <w:szCs w:val="24"/>
            <w:u w:val="single"/>
          </w:rPr>
          <w:t>https://10.1016/j.jsurg.2020.07.037</w:t>
        </w:r>
      </w:hyperlink>
    </w:p>
    <w:p w14:paraId="78A8A941" w14:textId="0F48F82A" w:rsidR="00C15DE4" w:rsidRPr="00C15DE4" w:rsidRDefault="00C15DE4" w:rsidP="00A94ED6">
      <w:pPr>
        <w:spacing w:line="480" w:lineRule="auto"/>
        <w:ind w:left="720" w:hanging="720"/>
        <w:rPr>
          <w:rFonts w:ascii="Times New Roman" w:hAnsi="Times New Roman" w:cs="Times New Roman"/>
          <w:sz w:val="24"/>
          <w:szCs w:val="24"/>
        </w:rPr>
      </w:pPr>
      <w:r w:rsidRPr="00C15DE4">
        <w:rPr>
          <w:rStyle w:val="Hyperlink"/>
          <w:rFonts w:ascii="Times New Roman" w:hAnsi="Times New Roman" w:cs="Times New Roman"/>
          <w:color w:val="auto"/>
          <w:sz w:val="24"/>
          <w:szCs w:val="24"/>
          <w:u w:val="none"/>
        </w:rPr>
        <w:t xml:space="preserve">Balch, C. M., Shanafelt, T. D., Dyrbye, L., Sloan, J. A., Russell, T. R., Bechamps, G.J., Freischlag, J. A. (2010). Surgeon distress as calibrated by hours worked and nights on call. </w:t>
      </w:r>
      <w:r w:rsidRPr="00C15DE4">
        <w:rPr>
          <w:rStyle w:val="Hyperlink"/>
          <w:rFonts w:ascii="Times New Roman" w:hAnsi="Times New Roman" w:cs="Times New Roman"/>
          <w:i/>
          <w:iCs/>
          <w:color w:val="auto"/>
          <w:sz w:val="24"/>
          <w:szCs w:val="24"/>
          <w:u w:val="none"/>
        </w:rPr>
        <w:t>Journal of the American College of Surgeons 211</w:t>
      </w:r>
      <w:r w:rsidRPr="00C15DE4">
        <w:rPr>
          <w:rStyle w:val="Hyperlink"/>
          <w:rFonts w:ascii="Times New Roman" w:hAnsi="Times New Roman" w:cs="Times New Roman"/>
          <w:color w:val="auto"/>
          <w:sz w:val="24"/>
          <w:szCs w:val="24"/>
          <w:u w:val="none"/>
        </w:rPr>
        <w:t xml:space="preserve">(5),609. </w:t>
      </w:r>
      <w:hyperlink r:id="rId8" w:history="1">
        <w:r w:rsidRPr="00C15DE4">
          <w:rPr>
            <w:rStyle w:val="Hyperlink"/>
            <w:rFonts w:ascii="Times New Roman" w:hAnsi="Times New Roman" w:cs="Times New Roman"/>
            <w:color w:val="auto"/>
            <w:sz w:val="24"/>
            <w:szCs w:val="24"/>
          </w:rPr>
          <w:t>https://doi.org/10.1016/j.jamcollsurg.2010.06.393</w:t>
        </w:r>
      </w:hyperlink>
    </w:p>
    <w:p w14:paraId="17EAF180" w14:textId="77777777" w:rsidR="004506E7" w:rsidRDefault="004506E7" w:rsidP="004506E7">
      <w:pPr>
        <w:spacing w:line="480" w:lineRule="auto"/>
        <w:ind w:left="720" w:hanging="720"/>
        <w:rPr>
          <w:rStyle w:val="Hyperlink"/>
          <w:rFonts w:ascii="Times New Roman" w:hAnsi="Times New Roman" w:cs="Times New Roman"/>
          <w:sz w:val="24"/>
          <w:szCs w:val="24"/>
        </w:rPr>
      </w:pPr>
      <w:r w:rsidRPr="004506E7">
        <w:rPr>
          <w:rFonts w:ascii="Times New Roman" w:hAnsi="Times New Roman" w:cs="Times New Roman"/>
          <w:sz w:val="24"/>
          <w:szCs w:val="24"/>
        </w:rPr>
        <w:t xml:space="preserve">Berman, L., Rialon, K., Mueller, C. M. Ottosen, M., Weintraub, A., Coakley, B., Brandt, M. L., Heiss, K. (2021). Supporting recovery after adverse events: An essential component of surgeon well-being. </w:t>
      </w:r>
      <w:r w:rsidRPr="004506E7">
        <w:rPr>
          <w:rFonts w:ascii="Times New Roman" w:hAnsi="Times New Roman" w:cs="Times New Roman"/>
          <w:i/>
          <w:iCs/>
          <w:sz w:val="24"/>
          <w:szCs w:val="24"/>
        </w:rPr>
        <w:t>Journal of Pediatric Surgery 56</w:t>
      </w:r>
      <w:r w:rsidRPr="004506E7">
        <w:rPr>
          <w:rFonts w:ascii="Times New Roman" w:hAnsi="Times New Roman" w:cs="Times New Roman"/>
          <w:sz w:val="24"/>
          <w:szCs w:val="24"/>
        </w:rPr>
        <w:t xml:space="preserve"> (5), 833-838. </w:t>
      </w:r>
      <w:hyperlink r:id="rId9" w:history="1">
        <w:r w:rsidRPr="004506E7">
          <w:rPr>
            <w:rStyle w:val="Hyperlink"/>
            <w:rFonts w:ascii="Times New Roman" w:hAnsi="Times New Roman" w:cs="Times New Roman"/>
            <w:sz w:val="24"/>
            <w:szCs w:val="24"/>
          </w:rPr>
          <w:t>https://doi.org/10.1016/j.jpedsurg.2020.12.031</w:t>
        </w:r>
      </w:hyperlink>
    </w:p>
    <w:p w14:paraId="009C08AD" w14:textId="77777777" w:rsidR="00D04EB7" w:rsidRDefault="00F66002" w:rsidP="00D04EB7">
      <w:pPr>
        <w:spacing w:line="480" w:lineRule="auto"/>
        <w:ind w:left="720" w:hanging="720"/>
        <w:rPr>
          <w:rFonts w:ascii="Times New Roman" w:hAnsi="Times New Roman" w:cs="Times New Roman"/>
          <w:sz w:val="24"/>
          <w:szCs w:val="24"/>
        </w:rPr>
      </w:pPr>
      <w:r w:rsidRPr="00F66002">
        <w:rPr>
          <w:rFonts w:ascii="Times New Roman" w:hAnsi="Times New Roman" w:cs="Times New Roman"/>
          <w:sz w:val="24"/>
          <w:szCs w:val="24"/>
        </w:rPr>
        <w:t xml:space="preserve">Bohnen, J. D., Lillemoe, K. D., Mort, E. A., Kaafarani, H. M. A. (2019). When things go wrong. </w:t>
      </w:r>
      <w:r w:rsidRPr="00F66002">
        <w:rPr>
          <w:rFonts w:ascii="Times New Roman" w:hAnsi="Times New Roman" w:cs="Times New Roman"/>
          <w:i/>
          <w:iCs/>
          <w:sz w:val="24"/>
          <w:szCs w:val="24"/>
        </w:rPr>
        <w:t>Annals of Surgery 269</w:t>
      </w:r>
      <w:r w:rsidRPr="00F66002">
        <w:rPr>
          <w:rFonts w:ascii="Times New Roman" w:hAnsi="Times New Roman" w:cs="Times New Roman"/>
          <w:sz w:val="24"/>
          <w:szCs w:val="24"/>
        </w:rPr>
        <w:t>(5), 808-809.</w:t>
      </w:r>
      <w:r w:rsidR="0000184E" w:rsidRPr="0000184E">
        <w:rPr>
          <w:rFonts w:ascii="Fira Sans" w:hAnsi="Fira Sans"/>
          <w:color w:val="000000"/>
          <w:sz w:val="21"/>
          <w:szCs w:val="21"/>
          <w:shd w:val="clear" w:color="auto" w:fill="FFFFFF"/>
        </w:rPr>
        <w:t xml:space="preserve"> </w:t>
      </w:r>
      <w:r w:rsidR="0000184E">
        <w:rPr>
          <w:rFonts w:ascii="Fira Sans" w:hAnsi="Fira Sans"/>
          <w:color w:val="000000"/>
          <w:sz w:val="21"/>
          <w:szCs w:val="21"/>
          <w:shd w:val="clear" w:color="auto" w:fill="FFFFFF"/>
        </w:rPr>
        <w:t> </w:t>
      </w:r>
      <w:r w:rsidR="0000184E" w:rsidRPr="0000184E">
        <w:rPr>
          <w:rFonts w:ascii="Times New Roman" w:hAnsi="Times New Roman" w:cs="Times New Roman"/>
          <w:color w:val="000000"/>
          <w:sz w:val="24"/>
          <w:szCs w:val="24"/>
          <w:shd w:val="clear" w:color="auto" w:fill="FFFFFF"/>
        </w:rPr>
        <w:t>doi: 10.1097/SLA.0000000000003138</w:t>
      </w:r>
      <w:r w:rsidRPr="00F66002">
        <w:rPr>
          <w:rFonts w:ascii="Times New Roman" w:hAnsi="Times New Roman" w:cs="Times New Roman"/>
          <w:sz w:val="24"/>
          <w:szCs w:val="24"/>
        </w:rPr>
        <w:t xml:space="preserve"> </w:t>
      </w:r>
    </w:p>
    <w:p w14:paraId="53355FB7" w14:textId="77777777" w:rsidR="005A6B79" w:rsidRDefault="005A6B79" w:rsidP="005A6B79">
      <w:pPr>
        <w:spacing w:line="480" w:lineRule="auto"/>
        <w:ind w:left="720" w:hanging="720"/>
        <w:rPr>
          <w:rStyle w:val="Hyperlink"/>
          <w:rFonts w:ascii="Times New Roman" w:hAnsi="Times New Roman" w:cs="Times New Roman"/>
          <w:sz w:val="24"/>
          <w:szCs w:val="24"/>
        </w:rPr>
      </w:pPr>
      <w:r w:rsidRPr="005A6B79">
        <w:rPr>
          <w:rFonts w:ascii="Times New Roman" w:hAnsi="Times New Roman" w:cs="Times New Roman"/>
          <w:sz w:val="24"/>
          <w:szCs w:val="24"/>
        </w:rPr>
        <w:t xml:space="preserve">Burlison, J.D., Scott, S. D., Brown, E. K., Thompson, S. G. Hoffman, J. M. (2017). The second victim experience and support tool: Validation of an organization resource for assessing second victim effects and the quality of support resources. </w:t>
      </w:r>
      <w:r w:rsidRPr="005A6B79">
        <w:rPr>
          <w:rFonts w:ascii="Times New Roman" w:hAnsi="Times New Roman" w:cs="Times New Roman"/>
          <w:i/>
          <w:iCs/>
          <w:sz w:val="24"/>
          <w:szCs w:val="24"/>
        </w:rPr>
        <w:t>Journal of Patient Safety 13(</w:t>
      </w:r>
      <w:r w:rsidRPr="005A6B79">
        <w:rPr>
          <w:rFonts w:ascii="Times New Roman" w:hAnsi="Times New Roman" w:cs="Times New Roman"/>
          <w:sz w:val="24"/>
          <w:szCs w:val="24"/>
        </w:rPr>
        <w:t xml:space="preserve">2), 93-102. </w:t>
      </w:r>
      <w:hyperlink r:id="rId10" w:history="1">
        <w:r w:rsidRPr="005A6B79">
          <w:rPr>
            <w:rStyle w:val="Hyperlink"/>
            <w:rFonts w:ascii="Times New Roman" w:hAnsi="Times New Roman" w:cs="Times New Roman"/>
            <w:sz w:val="24"/>
            <w:szCs w:val="24"/>
          </w:rPr>
          <w:t>http://doi.10.1097/pts0000000000000129</w:t>
        </w:r>
      </w:hyperlink>
    </w:p>
    <w:p w14:paraId="677AC91B" w14:textId="2D1212CA" w:rsidR="00A21787" w:rsidRDefault="00A21787" w:rsidP="005A6B79">
      <w:pPr>
        <w:spacing w:line="480" w:lineRule="auto"/>
        <w:ind w:left="720" w:hanging="720"/>
        <w:rPr>
          <w:rStyle w:val="Hyperlink"/>
          <w:rFonts w:ascii="Times New Roman" w:hAnsi="Times New Roman" w:cs="Times New Roman"/>
          <w:sz w:val="24"/>
          <w:szCs w:val="24"/>
        </w:rPr>
      </w:pPr>
      <w:r w:rsidRPr="00A21787">
        <w:rPr>
          <w:rFonts w:ascii="Times New Roman" w:hAnsi="Times New Roman" w:cs="Times New Roman"/>
          <w:color w:val="000000" w:themeColor="text1"/>
          <w:sz w:val="24"/>
          <w:szCs w:val="24"/>
          <w:lang w:val="it-IT"/>
        </w:rPr>
        <w:t xml:space="preserve">Burns, K. E. A., Pattani, R., Lorens, E., Straus, S. E., Hawker, G. A.(2021). The impact of organizational culture on professional fulfillment and burnout in an academic department of medicine. </w:t>
      </w:r>
      <w:r w:rsidRPr="00A21787">
        <w:rPr>
          <w:rFonts w:ascii="Times New Roman" w:hAnsi="Times New Roman" w:cs="Times New Roman"/>
          <w:i/>
          <w:iCs/>
          <w:color w:val="000000" w:themeColor="text1"/>
          <w:sz w:val="24"/>
          <w:szCs w:val="24"/>
          <w:lang w:val="it-IT"/>
        </w:rPr>
        <w:t>PloS ONE 16</w:t>
      </w:r>
      <w:r w:rsidRPr="00A21787">
        <w:rPr>
          <w:rFonts w:ascii="Times New Roman" w:hAnsi="Times New Roman" w:cs="Times New Roman"/>
          <w:color w:val="000000" w:themeColor="text1"/>
          <w:sz w:val="24"/>
          <w:szCs w:val="24"/>
          <w:lang w:val="it-IT"/>
        </w:rPr>
        <w:t xml:space="preserve">(6), 1-13. </w:t>
      </w:r>
      <w:hyperlink r:id="rId11" w:history="1">
        <w:r w:rsidRPr="00A21787">
          <w:rPr>
            <w:rFonts w:ascii="Times New Roman" w:hAnsi="Times New Roman" w:cs="Times New Roman"/>
            <w:color w:val="000000" w:themeColor="text1"/>
            <w:sz w:val="24"/>
            <w:szCs w:val="24"/>
            <w:u w:val="single"/>
            <w:lang w:val="it-IT"/>
          </w:rPr>
          <w:t>https://doi.org/10.1371/journal.pone.0252778</w:t>
        </w:r>
      </w:hyperlink>
    </w:p>
    <w:p w14:paraId="73D008D9" w14:textId="77777777" w:rsidR="000254BF" w:rsidRDefault="000254BF" w:rsidP="000254BF">
      <w:pPr>
        <w:spacing w:line="480" w:lineRule="auto"/>
        <w:ind w:left="720" w:hanging="720"/>
        <w:rPr>
          <w:rFonts w:ascii="Times New Roman" w:hAnsi="Times New Roman" w:cs="Times New Roman"/>
          <w:color w:val="000000" w:themeColor="text1"/>
          <w:sz w:val="24"/>
          <w:szCs w:val="24"/>
          <w:u w:val="single"/>
        </w:rPr>
      </w:pPr>
      <w:r w:rsidRPr="000254BF">
        <w:rPr>
          <w:rFonts w:ascii="Times New Roman" w:hAnsi="Times New Roman" w:cs="Times New Roman"/>
          <w:color w:val="000000" w:themeColor="text1"/>
          <w:sz w:val="24"/>
          <w:szCs w:val="24"/>
          <w:lang w:val="it-IT"/>
        </w:rPr>
        <w:t xml:space="preserve">Collins, C., Mahuron, K., Bongiovanni, T., Lancaster, E., Sosa, J. A., </w:t>
      </w:r>
      <w:r w:rsidRPr="000254BF">
        <w:rPr>
          <w:rFonts w:ascii="Times New Roman" w:hAnsi="Times New Roman" w:cs="Times New Roman"/>
          <w:sz w:val="24"/>
          <w:szCs w:val="24"/>
          <w:lang w:val="it-IT"/>
        </w:rPr>
        <w:t xml:space="preserve">&amp; </w:t>
      </w:r>
      <w:r w:rsidRPr="000254BF">
        <w:rPr>
          <w:rFonts w:ascii="Times New Roman" w:hAnsi="Times New Roman" w:cs="Times New Roman"/>
          <w:color w:val="000000" w:themeColor="text1"/>
          <w:sz w:val="24"/>
          <w:szCs w:val="24"/>
          <w:lang w:val="it-IT"/>
        </w:rPr>
        <w:t xml:space="preserve">Wick, E. (2021). </w:t>
      </w:r>
      <w:r w:rsidRPr="000254BF">
        <w:rPr>
          <w:rFonts w:ascii="Times New Roman" w:hAnsi="Times New Roman" w:cs="Times New Roman"/>
          <w:color w:val="000000" w:themeColor="text1"/>
          <w:sz w:val="24"/>
          <w:szCs w:val="24"/>
        </w:rPr>
        <w:t xml:space="preserve">Stress and the surgical resident in the COVID-19 pandemic. </w:t>
      </w:r>
      <w:r w:rsidRPr="000254BF">
        <w:rPr>
          <w:rFonts w:ascii="Times New Roman" w:hAnsi="Times New Roman" w:cs="Times New Roman"/>
          <w:i/>
          <w:iCs/>
          <w:color w:val="000000" w:themeColor="text1"/>
          <w:sz w:val="24"/>
          <w:szCs w:val="24"/>
        </w:rPr>
        <w:t>Journal of Surgical Education</w:t>
      </w:r>
      <w:r w:rsidRPr="000254BF">
        <w:rPr>
          <w:rFonts w:ascii="Times New Roman" w:hAnsi="Times New Roman" w:cs="Times New Roman"/>
          <w:color w:val="000000" w:themeColor="text1"/>
          <w:sz w:val="24"/>
          <w:szCs w:val="24"/>
        </w:rPr>
        <w:t xml:space="preserve">, 78(2), 422–439. </w:t>
      </w:r>
      <w:hyperlink r:id="rId12" w:history="1">
        <w:r w:rsidRPr="000254BF">
          <w:rPr>
            <w:rFonts w:ascii="Times New Roman" w:hAnsi="Times New Roman" w:cs="Times New Roman"/>
            <w:color w:val="000000" w:themeColor="text1"/>
            <w:sz w:val="24"/>
            <w:szCs w:val="24"/>
            <w:u w:val="single"/>
          </w:rPr>
          <w:t>https://pubmed.ncbi.nlm.nih.gov/32792326</w:t>
        </w:r>
      </w:hyperlink>
    </w:p>
    <w:p w14:paraId="47E2FD03" w14:textId="6536D60D" w:rsidR="005A6B79" w:rsidRDefault="00DE728A" w:rsidP="00D04EB7">
      <w:pPr>
        <w:spacing w:line="480" w:lineRule="auto"/>
        <w:ind w:left="720" w:hanging="720"/>
        <w:contextualSpacing/>
        <w:rPr>
          <w:rStyle w:val="Hyperlink"/>
          <w:rFonts w:ascii="Times New Roman" w:hAnsi="Times New Roman" w:cs="Times New Roman"/>
          <w:sz w:val="24"/>
          <w:szCs w:val="24"/>
        </w:rPr>
      </w:pPr>
      <w:r w:rsidRPr="00DE728A">
        <w:rPr>
          <w:rFonts w:ascii="Times New Roman" w:hAnsi="Times New Roman" w:cs="Times New Roman"/>
          <w:sz w:val="24"/>
          <w:szCs w:val="24"/>
        </w:rPr>
        <w:t xml:space="preserve">Etheridge, J. C., Evans, D., Zhao, L., Ibrahim, N., Wick, E. C., Frieschlag, J. A., Brownstein, M. R. (2023). Trends in surgeon burnout in the US and Canada: Systematic review of meta-regression analysis. </w:t>
      </w:r>
      <w:r w:rsidRPr="00DE728A">
        <w:rPr>
          <w:rFonts w:ascii="Times New Roman" w:hAnsi="Times New Roman" w:cs="Times New Roman"/>
          <w:i/>
          <w:iCs/>
          <w:sz w:val="24"/>
          <w:szCs w:val="24"/>
        </w:rPr>
        <w:t>Journal of the American College of Surgeons 236</w:t>
      </w:r>
      <w:r w:rsidRPr="00DE728A">
        <w:rPr>
          <w:rFonts w:ascii="Times New Roman" w:hAnsi="Times New Roman" w:cs="Times New Roman"/>
          <w:sz w:val="24"/>
          <w:szCs w:val="24"/>
        </w:rPr>
        <w:t>(1), 253-265</w:t>
      </w:r>
      <w:r w:rsidRPr="005866CF">
        <w:t xml:space="preserve">. </w:t>
      </w:r>
      <w:hyperlink r:id="rId13" w:history="1">
        <w:r w:rsidRPr="005866CF">
          <w:rPr>
            <w:rStyle w:val="Hyperlink"/>
          </w:rPr>
          <w:t>https://doi.org/10.1097/XCS.0000000000000402</w:t>
        </w:r>
      </w:hyperlink>
    </w:p>
    <w:p w14:paraId="63F87419" w14:textId="2345F40A" w:rsidR="005848DA" w:rsidRDefault="00916D95" w:rsidP="00717464">
      <w:pPr>
        <w:spacing w:line="480" w:lineRule="auto"/>
        <w:ind w:left="720" w:hanging="720"/>
        <w:rPr>
          <w:rStyle w:val="Hyperlink"/>
          <w:rFonts w:ascii="Times New Roman" w:hAnsi="Times New Roman" w:cs="Times New Roman"/>
          <w:sz w:val="24"/>
          <w:szCs w:val="24"/>
        </w:rPr>
      </w:pPr>
      <w:r w:rsidRPr="005A6B79">
        <w:rPr>
          <w:rFonts w:ascii="Times New Roman" w:hAnsi="Times New Roman" w:cs="Times New Roman"/>
          <w:sz w:val="24"/>
          <w:szCs w:val="24"/>
        </w:rPr>
        <w:t xml:space="preserve">Han K., Bohnen J.D., Peponis T., Martinez, M., Nandan, A., Yeh, D. D., Lee, J., Demoya, M. Velmahos, G., Kaafarani, H. M. A. (2017). The surgeon as the second victim? Results of the Boston intraoperative adverse events surgeons' attitude (BISA) study. </w:t>
      </w:r>
      <w:r w:rsidRPr="005A6B79">
        <w:rPr>
          <w:rFonts w:ascii="Times New Roman" w:hAnsi="Times New Roman" w:cs="Times New Roman"/>
          <w:i/>
          <w:iCs/>
          <w:sz w:val="24"/>
          <w:szCs w:val="24"/>
        </w:rPr>
        <w:t>Journal American College of Surgery. 224</w:t>
      </w:r>
      <w:r w:rsidRPr="005A6B79">
        <w:rPr>
          <w:rFonts w:ascii="Times New Roman" w:hAnsi="Times New Roman" w:cs="Times New Roman"/>
          <w:sz w:val="24"/>
          <w:szCs w:val="24"/>
        </w:rPr>
        <w:t>(6),1048- 1056.</w:t>
      </w:r>
      <w:r w:rsidR="00D971FB" w:rsidRPr="005A6B79">
        <w:rPr>
          <w:rFonts w:ascii="Times New Roman" w:hAnsi="Times New Roman" w:cs="Times New Roman"/>
          <w:sz w:val="24"/>
          <w:szCs w:val="24"/>
        </w:rPr>
        <w:t xml:space="preserve"> </w:t>
      </w:r>
      <w:hyperlink r:id="rId14" w:history="1">
        <w:r w:rsidR="00D971FB" w:rsidRPr="005A6B79">
          <w:rPr>
            <w:rStyle w:val="Hyperlink"/>
            <w:rFonts w:ascii="Times New Roman" w:hAnsi="Times New Roman" w:cs="Times New Roman"/>
            <w:sz w:val="24"/>
            <w:szCs w:val="24"/>
          </w:rPr>
          <w:t>https://www.ncbi.nlm.nih.gov/pubmed/28093300</w:t>
        </w:r>
      </w:hyperlink>
    </w:p>
    <w:p w14:paraId="7A4E3F81" w14:textId="77777777" w:rsidR="00262E09" w:rsidRDefault="00262E09" w:rsidP="00262E09">
      <w:pPr>
        <w:spacing w:line="480" w:lineRule="auto"/>
        <w:ind w:left="720" w:hanging="720"/>
        <w:contextualSpacing/>
        <w:rPr>
          <w:rStyle w:val="Hyperlink"/>
          <w:rFonts w:ascii="Times New Roman" w:hAnsi="Times New Roman" w:cs="Times New Roman"/>
          <w:sz w:val="24"/>
          <w:szCs w:val="24"/>
        </w:rPr>
      </w:pPr>
      <w:r w:rsidRPr="00262E09">
        <w:rPr>
          <w:rFonts w:ascii="Times New Roman" w:hAnsi="Times New Roman" w:cs="Times New Roman"/>
          <w:color w:val="595959"/>
          <w:sz w:val="24"/>
          <w:szCs w:val="24"/>
        </w:rPr>
        <w:t xml:space="preserve">Harrison, R., Lawton, R., Perlo, J., Gardner, P., Armitage, G., &amp; Shapiro, J. (2015). Emotion and coping in the aftermath of medical error: A cross-country exploration. </w:t>
      </w:r>
      <w:r w:rsidRPr="00262E09">
        <w:rPr>
          <w:rFonts w:ascii="Times New Roman" w:hAnsi="Times New Roman" w:cs="Times New Roman"/>
          <w:i/>
          <w:iCs/>
          <w:color w:val="595959"/>
          <w:sz w:val="24"/>
          <w:szCs w:val="24"/>
        </w:rPr>
        <w:t>Journal of Patient Safety</w:t>
      </w:r>
      <w:r w:rsidRPr="00262E09">
        <w:rPr>
          <w:rFonts w:ascii="Times New Roman" w:hAnsi="Times New Roman" w:cs="Times New Roman"/>
          <w:color w:val="595959"/>
          <w:sz w:val="24"/>
          <w:szCs w:val="24"/>
        </w:rPr>
        <w:t>,</w:t>
      </w:r>
      <w:r w:rsidRPr="00262E09">
        <w:rPr>
          <w:rFonts w:ascii="Times New Roman" w:hAnsi="Times New Roman" w:cs="Times New Roman"/>
          <w:i/>
          <w:iCs/>
          <w:color w:val="595959"/>
          <w:sz w:val="24"/>
          <w:szCs w:val="24"/>
        </w:rPr>
        <w:t xml:space="preserve"> 11</w:t>
      </w:r>
      <w:r w:rsidRPr="00262E09">
        <w:rPr>
          <w:rFonts w:ascii="Times New Roman" w:hAnsi="Times New Roman" w:cs="Times New Roman"/>
          <w:color w:val="595959"/>
          <w:sz w:val="24"/>
          <w:szCs w:val="24"/>
        </w:rPr>
        <w:t>(1), 28–35.</w:t>
      </w:r>
      <w:r w:rsidRPr="00262E09">
        <w:rPr>
          <w:rFonts w:ascii="Times New Roman" w:hAnsi="Times New Roman" w:cs="Times New Roman"/>
          <w:color w:val="595959"/>
          <w:sz w:val="28"/>
          <w:szCs w:val="28"/>
        </w:rPr>
        <w:t xml:space="preserve"> </w:t>
      </w:r>
      <w:hyperlink r:id="rId15" w:history="1">
        <w:r w:rsidRPr="00262E09">
          <w:rPr>
            <w:rStyle w:val="Hyperlink"/>
            <w:rFonts w:ascii="Times New Roman" w:hAnsi="Times New Roman" w:cs="Times New Roman"/>
            <w:sz w:val="24"/>
            <w:szCs w:val="24"/>
          </w:rPr>
          <w:t>https://doi.org/10.1097/PTS.0b013e3182979b6f</w:t>
        </w:r>
      </w:hyperlink>
    </w:p>
    <w:p w14:paraId="1148F45B" w14:textId="77777777" w:rsidR="000E662B" w:rsidRDefault="000E662B" w:rsidP="000E662B">
      <w:pPr>
        <w:spacing w:line="480" w:lineRule="auto"/>
        <w:ind w:left="720" w:hanging="720"/>
        <w:contextualSpacing/>
        <w:rPr>
          <w:rFonts w:ascii="Times New Roman" w:hAnsi="Times New Roman" w:cs="Times New Roman"/>
          <w:color w:val="000000" w:themeColor="text1"/>
          <w:sz w:val="24"/>
          <w:szCs w:val="24"/>
          <w:u w:val="single"/>
        </w:rPr>
      </w:pPr>
      <w:r w:rsidRPr="000E662B">
        <w:rPr>
          <w:rFonts w:ascii="Times New Roman" w:hAnsi="Times New Roman" w:cs="Times New Roman"/>
          <w:color w:val="000000" w:themeColor="text1"/>
          <w:sz w:val="24"/>
          <w:szCs w:val="24"/>
        </w:rPr>
        <w:t xml:space="preserve">Hewitt, D. B., Chung, J. W., Ellis, R. J., Cheung, E. O., Moskowitz, J. T., Hu, Y.-Y., Etkin, C. D., Nussbaum, M. S., Choi, J. N., Greenberg, C. C., Bilimoria, K. Y. (2021). National evaluation of surgical resident grit and the association with wellness outcomes. </w:t>
      </w:r>
      <w:r w:rsidRPr="000E662B">
        <w:rPr>
          <w:rFonts w:ascii="Times New Roman" w:hAnsi="Times New Roman" w:cs="Times New Roman"/>
          <w:i/>
          <w:iCs/>
          <w:color w:val="000000" w:themeColor="text1"/>
          <w:sz w:val="24"/>
          <w:szCs w:val="24"/>
        </w:rPr>
        <w:t>JAMA Surgery, 156</w:t>
      </w:r>
      <w:r w:rsidRPr="000E662B">
        <w:rPr>
          <w:rFonts w:ascii="Times New Roman" w:hAnsi="Times New Roman" w:cs="Times New Roman"/>
          <w:color w:val="000000" w:themeColor="text1"/>
          <w:sz w:val="24"/>
          <w:szCs w:val="24"/>
        </w:rPr>
        <w:t xml:space="preserve">(9), 856-863. </w:t>
      </w:r>
      <w:hyperlink r:id="rId16" w:history="1">
        <w:r w:rsidRPr="000E662B">
          <w:rPr>
            <w:rFonts w:ascii="Times New Roman" w:hAnsi="Times New Roman" w:cs="Times New Roman"/>
            <w:color w:val="000000" w:themeColor="text1"/>
            <w:sz w:val="24"/>
            <w:szCs w:val="24"/>
            <w:u w:val="single"/>
          </w:rPr>
          <w:t>https://doi.org,acu.idm.oclc.org/10.1001/jamasurg.2021.2378</w:t>
        </w:r>
      </w:hyperlink>
    </w:p>
    <w:p w14:paraId="3FF87FAD" w14:textId="576B7D47" w:rsidR="00BB69DF" w:rsidRPr="00BB69DF" w:rsidRDefault="00BB69DF" w:rsidP="000E662B">
      <w:pPr>
        <w:spacing w:line="480" w:lineRule="auto"/>
        <w:ind w:left="720" w:hanging="720"/>
        <w:contextualSpacing/>
        <w:rPr>
          <w:rFonts w:ascii="Times New Roman" w:hAnsi="Times New Roman" w:cs="Times New Roman"/>
          <w:color w:val="000000" w:themeColor="text1"/>
          <w:sz w:val="24"/>
          <w:szCs w:val="24"/>
          <w:u w:val="single"/>
        </w:rPr>
      </w:pPr>
      <w:r w:rsidRPr="00BB69DF">
        <w:rPr>
          <w:rFonts w:ascii="Times New Roman" w:hAnsi="Times New Roman" w:cs="Times New Roman"/>
          <w:color w:val="000000" w:themeColor="text1"/>
          <w:sz w:val="24"/>
          <w:szCs w:val="24"/>
        </w:rPr>
        <w:t xml:space="preserve">Hu, Y. Y., Henrickson-Parker, S., Lipsitz, S. R., Arriaga, A. F., Peyre, S. E., Corso, K. A., Roth, E. M., Yule, S. J., Greenberg, C. C. (2016). Surgeons’ leadership styles and team behavior in the operating room. </w:t>
      </w:r>
      <w:r w:rsidRPr="00BB69DF">
        <w:rPr>
          <w:rFonts w:ascii="Times New Roman" w:hAnsi="Times New Roman" w:cs="Times New Roman"/>
          <w:i/>
          <w:iCs/>
          <w:color w:val="000000" w:themeColor="text1"/>
          <w:sz w:val="24"/>
          <w:szCs w:val="24"/>
        </w:rPr>
        <w:t>Journal of the American College of Surgeons, 222</w:t>
      </w:r>
      <w:r w:rsidRPr="00BB69DF">
        <w:rPr>
          <w:rFonts w:ascii="Times New Roman" w:hAnsi="Times New Roman" w:cs="Times New Roman"/>
          <w:color w:val="000000" w:themeColor="text1"/>
          <w:sz w:val="24"/>
          <w:szCs w:val="24"/>
        </w:rPr>
        <w:t xml:space="preserve">(1), 41-51. </w:t>
      </w:r>
      <w:hyperlink r:id="rId17" w:history="1">
        <w:r w:rsidRPr="00BB69DF">
          <w:rPr>
            <w:rFonts w:ascii="Times New Roman" w:hAnsi="Times New Roman" w:cs="Times New Roman"/>
            <w:color w:val="000000" w:themeColor="text1"/>
            <w:sz w:val="24"/>
            <w:szCs w:val="24"/>
            <w:u w:val="single"/>
          </w:rPr>
          <w:t>https://doi.org/10.1016/j.jamcollsurg.2015.09.013</w:t>
        </w:r>
      </w:hyperlink>
    </w:p>
    <w:p w14:paraId="26F0ADF4" w14:textId="0856F8DA" w:rsidR="00262E09" w:rsidRPr="00974D9B" w:rsidRDefault="007474D7" w:rsidP="00974D9B">
      <w:pPr>
        <w:spacing w:line="480" w:lineRule="auto"/>
        <w:ind w:left="720" w:hanging="720"/>
        <w:contextualSpacing/>
        <w:rPr>
          <w:rStyle w:val="Hyperlink"/>
          <w:rFonts w:ascii="Times New Roman" w:hAnsi="Times New Roman" w:cs="Times New Roman"/>
          <w:color w:val="000000" w:themeColor="text1"/>
          <w:sz w:val="24"/>
          <w:szCs w:val="24"/>
          <w:u w:val="none"/>
        </w:rPr>
      </w:pPr>
      <w:r w:rsidRPr="007474D7">
        <w:rPr>
          <w:rFonts w:ascii="Times New Roman" w:hAnsi="Times New Roman" w:cs="Times New Roman"/>
          <w:color w:val="000000" w:themeColor="text1"/>
          <w:sz w:val="24"/>
          <w:szCs w:val="24"/>
        </w:rPr>
        <w:t xml:space="preserve">Jennings, J. M., Gold, Pl A., Nellans, K., Boraiah, S. (2022). Orthopaedic surgeons have a high prevalence of burnout, depression, and suicide: Review of factors which contribute or reduce further harm. </w:t>
      </w:r>
      <w:r w:rsidRPr="007474D7">
        <w:rPr>
          <w:rFonts w:ascii="Times New Roman" w:hAnsi="Times New Roman" w:cs="Times New Roman"/>
          <w:i/>
          <w:iCs/>
          <w:color w:val="000000" w:themeColor="text1"/>
          <w:sz w:val="24"/>
          <w:szCs w:val="24"/>
        </w:rPr>
        <w:t>Journal of the American Academy of Orthopaedic Surgeons 30</w:t>
      </w:r>
      <w:r w:rsidRPr="007474D7">
        <w:rPr>
          <w:rFonts w:ascii="Times New Roman" w:hAnsi="Times New Roman" w:cs="Times New Roman"/>
          <w:color w:val="000000" w:themeColor="text1"/>
          <w:sz w:val="24"/>
          <w:szCs w:val="24"/>
        </w:rPr>
        <w:t xml:space="preserve">(5), e528. </w:t>
      </w:r>
      <w:hyperlink r:id="rId18" w:history="1">
        <w:r w:rsidRPr="007474D7">
          <w:rPr>
            <w:rStyle w:val="Hyperlink"/>
            <w:rFonts w:ascii="Times New Roman" w:hAnsi="Times New Roman" w:cs="Times New Roman"/>
            <w:sz w:val="24"/>
            <w:szCs w:val="24"/>
          </w:rPr>
          <w:t>https://doi.org/10.5435/JAAOS-D-21-00299</w:t>
        </w:r>
      </w:hyperlink>
    </w:p>
    <w:p w14:paraId="4C68E33D" w14:textId="5D1F66D0" w:rsidR="004506E7" w:rsidRDefault="00544B1E" w:rsidP="00912344">
      <w:pPr>
        <w:pStyle w:val="APAHeading1"/>
        <w:ind w:left="720" w:hanging="720"/>
        <w:jc w:val="left"/>
        <w:rPr>
          <w:rStyle w:val="Hyperlink"/>
          <w:b w:val="0"/>
          <w:bCs/>
        </w:rPr>
      </w:pPr>
      <w:r>
        <w:rPr>
          <w:b w:val="0"/>
        </w:rPr>
        <w:t xml:space="preserve">Kaur, A. P., Levinson, A. T., Monteiro, J. F. G., Carino, G. (2019). The impact of errors on healthcare professionals in the critical care setting. </w:t>
      </w:r>
      <w:r w:rsidRPr="009B3D65">
        <w:rPr>
          <w:b w:val="0"/>
          <w:i/>
          <w:iCs/>
        </w:rPr>
        <w:t>Journal of Critical Care 52</w:t>
      </w:r>
      <w:r>
        <w:rPr>
          <w:b w:val="0"/>
        </w:rPr>
        <w:t xml:space="preserve">, 16-21. </w:t>
      </w:r>
      <w:hyperlink r:id="rId19" w:history="1">
        <w:r w:rsidRPr="003E62FB">
          <w:rPr>
            <w:rStyle w:val="Hyperlink"/>
            <w:b w:val="0"/>
            <w:bCs/>
          </w:rPr>
          <w:t>http://doi.org/10.1016/j.jcrc.2019.03.001</w:t>
        </w:r>
      </w:hyperlink>
    </w:p>
    <w:p w14:paraId="2DFD3D39" w14:textId="77777777" w:rsidR="00257491" w:rsidRPr="00257491" w:rsidRDefault="00257491" w:rsidP="00257491">
      <w:pPr>
        <w:spacing w:line="480" w:lineRule="auto"/>
        <w:ind w:left="720" w:hanging="720"/>
        <w:contextualSpacing/>
        <w:rPr>
          <w:rStyle w:val="Hyperlink"/>
          <w:rFonts w:ascii="Times New Roman" w:hAnsi="Times New Roman" w:cs="Times New Roman"/>
          <w:color w:val="auto"/>
          <w:sz w:val="24"/>
          <w:szCs w:val="24"/>
          <w:u w:val="none"/>
          <w:shd w:val="clear" w:color="auto" w:fill="FFFFFF"/>
        </w:rPr>
      </w:pPr>
      <w:r w:rsidRPr="00257491">
        <w:rPr>
          <w:rStyle w:val="Hyperlink"/>
          <w:rFonts w:ascii="Times New Roman" w:hAnsi="Times New Roman" w:cs="Times New Roman"/>
          <w:color w:val="auto"/>
          <w:sz w:val="24"/>
          <w:szCs w:val="24"/>
          <w:u w:val="none"/>
          <w:shd w:val="clear" w:color="auto" w:fill="FFFFFF"/>
        </w:rPr>
        <w:t xml:space="preserve">Kinslow, K., &amp; Elkbuli, A. (2021). 650 factors influencing the rising trends in us physician and surgeon suicide rates 2003-2017: Analysis of the CDC-National violent death reporting system. </w:t>
      </w:r>
      <w:r w:rsidRPr="00257491">
        <w:rPr>
          <w:rStyle w:val="Hyperlink"/>
          <w:rFonts w:ascii="Times New Roman" w:hAnsi="Times New Roman" w:cs="Times New Roman"/>
          <w:i/>
          <w:iCs/>
          <w:color w:val="auto"/>
          <w:sz w:val="24"/>
          <w:szCs w:val="24"/>
          <w:u w:val="none"/>
          <w:shd w:val="clear" w:color="auto" w:fill="FFFFFF"/>
        </w:rPr>
        <w:t>Journal of Burn Care &amp; Research 42</w:t>
      </w:r>
      <w:r w:rsidRPr="00257491">
        <w:rPr>
          <w:rStyle w:val="Hyperlink"/>
          <w:rFonts w:ascii="Times New Roman" w:hAnsi="Times New Roman" w:cs="Times New Roman"/>
          <w:color w:val="auto"/>
          <w:sz w:val="24"/>
          <w:szCs w:val="24"/>
          <w:u w:val="none"/>
          <w:shd w:val="clear" w:color="auto" w:fill="FFFFFF"/>
        </w:rPr>
        <w:t>, S182-S183.</w:t>
      </w:r>
      <w:r w:rsidRPr="00257491">
        <w:rPr>
          <w:rFonts w:ascii="Times New Roman" w:hAnsi="Times New Roman" w:cs="Times New Roman"/>
          <w:sz w:val="24"/>
          <w:szCs w:val="24"/>
        </w:rPr>
        <w:t xml:space="preserve"> </w:t>
      </w:r>
      <w:hyperlink r:id="rId20" w:history="1">
        <w:r w:rsidRPr="00257491">
          <w:rPr>
            <w:rStyle w:val="Hyperlink"/>
            <w:rFonts w:ascii="Times New Roman" w:hAnsi="Times New Roman" w:cs="Times New Roman"/>
            <w:color w:val="auto"/>
            <w:sz w:val="24"/>
            <w:szCs w:val="24"/>
            <w:u w:val="none"/>
            <w:shd w:val="clear" w:color="auto" w:fill="FFFFFF"/>
          </w:rPr>
          <w:t>https://doi.org/10.1093/jbcr/irab032.300</w:t>
        </w:r>
      </w:hyperlink>
    </w:p>
    <w:p w14:paraId="684105B1" w14:textId="77777777" w:rsidR="00494E13" w:rsidRDefault="000772A4" w:rsidP="00CF64DF">
      <w:pPr>
        <w:spacing w:before="100" w:beforeAutospacing="1" w:after="100" w:afterAutospacing="1" w:line="480" w:lineRule="auto"/>
        <w:ind w:left="720" w:hanging="720"/>
        <w:rPr>
          <w:rFonts w:ascii="Times New Roman" w:eastAsia="Times New Roman" w:hAnsi="Times New Roman" w:cs="Times New Roman"/>
          <w:color w:val="0000FF"/>
          <w:sz w:val="24"/>
          <w:szCs w:val="24"/>
          <w:u w:val="single"/>
        </w:rPr>
      </w:pPr>
      <w:r w:rsidRPr="000772A4">
        <w:rPr>
          <w:rFonts w:ascii="Times New Roman" w:eastAsia="Times New Roman" w:hAnsi="Times New Roman" w:cs="Times New Roman"/>
          <w:sz w:val="24"/>
          <w:szCs w:val="24"/>
        </w:rPr>
        <w:t xml:space="preserve">Lazarus, R. S. (1990). Theory-based stress measurement. </w:t>
      </w:r>
      <w:r w:rsidRPr="000772A4">
        <w:rPr>
          <w:rFonts w:ascii="Times New Roman" w:eastAsia="Times New Roman" w:hAnsi="Times New Roman" w:cs="Times New Roman"/>
          <w:i/>
          <w:iCs/>
          <w:sz w:val="24"/>
          <w:szCs w:val="24"/>
        </w:rPr>
        <w:t>Psychological Inquiry, 1(</w:t>
      </w:r>
      <w:r w:rsidRPr="000772A4">
        <w:rPr>
          <w:rFonts w:ascii="Times New Roman" w:eastAsia="Times New Roman" w:hAnsi="Times New Roman" w:cs="Times New Roman"/>
          <w:sz w:val="24"/>
          <w:szCs w:val="24"/>
        </w:rPr>
        <w:t xml:space="preserve">1), 3-13. </w:t>
      </w:r>
      <w:hyperlink r:id="rId21" w:history="1">
        <w:r w:rsidRPr="000772A4">
          <w:rPr>
            <w:rFonts w:ascii="Times New Roman" w:eastAsia="Times New Roman" w:hAnsi="Times New Roman" w:cs="Times New Roman"/>
            <w:color w:val="0000FF"/>
            <w:sz w:val="24"/>
            <w:szCs w:val="24"/>
            <w:u w:val="single"/>
          </w:rPr>
          <w:t>https://doi:10.1207/s15327965pli0101_1</w:t>
        </w:r>
      </w:hyperlink>
    </w:p>
    <w:p w14:paraId="0BF1A0BA" w14:textId="5B3F4E54" w:rsidR="00D34C0C" w:rsidRDefault="00D34C0C" w:rsidP="00A915EE">
      <w:pPr>
        <w:spacing w:line="480" w:lineRule="auto"/>
        <w:ind w:left="720" w:hanging="720"/>
        <w:rPr>
          <w:rFonts w:ascii="Times New Roman" w:eastAsia="Times New Roman" w:hAnsi="Times New Roman" w:cs="Times New Roman"/>
          <w:color w:val="0000FF"/>
          <w:sz w:val="24"/>
          <w:szCs w:val="24"/>
          <w:u w:val="single"/>
        </w:rPr>
      </w:pPr>
      <w:r w:rsidRPr="00D34C0C">
        <w:rPr>
          <w:rFonts w:ascii="Times New Roman" w:hAnsi="Times New Roman" w:cs="Times New Roman"/>
          <w:color w:val="000000" w:themeColor="text1"/>
          <w:sz w:val="24"/>
          <w:szCs w:val="24"/>
        </w:rPr>
        <w:t xml:space="preserve">Lin, J.S., Olutoye, O.O., Samora, J.B. (2023). To err is human, but what happens when surgeons err? </w:t>
      </w:r>
      <w:r w:rsidRPr="00D34C0C">
        <w:rPr>
          <w:rFonts w:ascii="Times New Roman" w:hAnsi="Times New Roman" w:cs="Times New Roman"/>
          <w:i/>
          <w:iCs/>
          <w:color w:val="000000" w:themeColor="text1"/>
          <w:sz w:val="24"/>
          <w:szCs w:val="24"/>
        </w:rPr>
        <w:t>Journal of Pediatric Surgery 58</w:t>
      </w:r>
      <w:r w:rsidRPr="00D34C0C">
        <w:rPr>
          <w:rFonts w:ascii="Times New Roman" w:hAnsi="Times New Roman" w:cs="Times New Roman"/>
          <w:color w:val="000000" w:themeColor="text1"/>
          <w:sz w:val="24"/>
          <w:szCs w:val="24"/>
        </w:rPr>
        <w:t>(3), 496-502.</w:t>
      </w:r>
      <w:r w:rsidRPr="00A04455">
        <w:t xml:space="preserve"> </w:t>
      </w:r>
      <w:hyperlink r:id="rId22" w:history="1">
        <w:r w:rsidRPr="00847DDD">
          <w:rPr>
            <w:rStyle w:val="Hyperlink"/>
          </w:rPr>
          <w:t>https://www.sciencedirect.com/science/article/pii/S0022346822004456</w:t>
        </w:r>
      </w:hyperlink>
    </w:p>
    <w:p w14:paraId="391B7416" w14:textId="3F6D8D31" w:rsidR="00BE5EA9" w:rsidRDefault="00BE5EA9" w:rsidP="00717464">
      <w:pPr>
        <w:spacing w:line="480" w:lineRule="auto"/>
        <w:ind w:left="720" w:hanging="720"/>
        <w:rPr>
          <w:rStyle w:val="Hyperlink"/>
          <w:rFonts w:ascii="Times New Roman" w:hAnsi="Times New Roman" w:cs="Times New Roman"/>
          <w:sz w:val="24"/>
          <w:szCs w:val="24"/>
        </w:rPr>
      </w:pPr>
      <w:r w:rsidRPr="00BE5EA9">
        <w:rPr>
          <w:rFonts w:ascii="Times New Roman" w:hAnsi="Times New Roman" w:cs="Times New Roman"/>
          <w:sz w:val="24"/>
          <w:szCs w:val="24"/>
        </w:rPr>
        <w:t xml:space="preserve">Luu, S., Patel, P., St-Martin, L., Leung, A. S. O., Regehr, G., Murnaghan, M. L., Gallinger, S., Moulton, C. (2012). Waking up the next morning: Surgeon’s emotional reactions to adverse events. </w:t>
      </w:r>
      <w:r w:rsidRPr="00BE5EA9">
        <w:rPr>
          <w:rFonts w:ascii="Times New Roman" w:hAnsi="Times New Roman" w:cs="Times New Roman"/>
          <w:i/>
          <w:iCs/>
          <w:sz w:val="24"/>
          <w:szCs w:val="24"/>
        </w:rPr>
        <w:t>Medical Education 46</w:t>
      </w:r>
      <w:r w:rsidRPr="00BE5EA9">
        <w:rPr>
          <w:rFonts w:ascii="Times New Roman" w:hAnsi="Times New Roman" w:cs="Times New Roman"/>
          <w:sz w:val="24"/>
          <w:szCs w:val="24"/>
        </w:rPr>
        <w:t xml:space="preserve">, 1179-1188. </w:t>
      </w:r>
      <w:hyperlink r:id="rId23" w:history="1">
        <w:r w:rsidRPr="00BE5EA9">
          <w:rPr>
            <w:rStyle w:val="Hyperlink"/>
            <w:rFonts w:ascii="Times New Roman" w:hAnsi="Times New Roman" w:cs="Times New Roman"/>
            <w:sz w:val="24"/>
            <w:szCs w:val="24"/>
          </w:rPr>
          <w:t>https://doi.org/10.1111/medu.12058</w:t>
        </w:r>
      </w:hyperlink>
    </w:p>
    <w:p w14:paraId="35D3D35C" w14:textId="77777777" w:rsidR="00C479AE" w:rsidRDefault="00527302" w:rsidP="00494E13">
      <w:pPr>
        <w:spacing w:line="480" w:lineRule="auto"/>
        <w:ind w:left="720" w:hanging="720"/>
        <w:rPr>
          <w:rFonts w:ascii="Times New Roman" w:hAnsi="Times New Roman" w:cs="Times New Roman"/>
          <w:color w:val="000000" w:themeColor="text1"/>
          <w:sz w:val="24"/>
          <w:szCs w:val="24"/>
          <w:u w:val="single"/>
          <w:shd w:val="clear" w:color="auto" w:fill="FFFFFF"/>
        </w:rPr>
      </w:pPr>
      <w:r w:rsidRPr="00527302">
        <w:rPr>
          <w:rFonts w:ascii="Times New Roman" w:hAnsi="Times New Roman" w:cs="Times New Roman"/>
          <w:bCs/>
          <w:color w:val="333333"/>
          <w:sz w:val="24"/>
          <w:szCs w:val="24"/>
          <w:shd w:val="clear" w:color="auto" w:fill="FFFFFF"/>
        </w:rPr>
        <w:t>Mahoney, S.</w:t>
      </w:r>
      <w:r w:rsidRPr="00527302">
        <w:rPr>
          <w:rFonts w:ascii="Times New Roman" w:hAnsi="Times New Roman" w:cs="Times New Roman"/>
          <w:color w:val="000000" w:themeColor="text1"/>
          <w:sz w:val="24"/>
          <w:szCs w:val="24"/>
          <w:shd w:val="clear" w:color="auto" w:fill="FFFFFF"/>
        </w:rPr>
        <w:t>T., Strassle, P., Schroen, A. T., Agans, R. P., Turner, P. L., Meyer, A. A., Freischalg, J.A., Brownstein, M. R. (2020). Survey of the US surgeon workforce: Practice characteristics, job satisfaction, and reasons for leaving surgery.</w:t>
      </w:r>
      <w:r w:rsidRPr="00527302">
        <w:rPr>
          <w:rFonts w:ascii="Times New Roman" w:hAnsi="Times New Roman" w:cs="Times New Roman"/>
          <w:i/>
          <w:iCs/>
          <w:color w:val="000000" w:themeColor="text1"/>
          <w:sz w:val="24"/>
          <w:szCs w:val="24"/>
          <w:shd w:val="clear" w:color="auto" w:fill="FFFFFF"/>
        </w:rPr>
        <w:t xml:space="preserve"> Journal of the American College of Surgeons, 230</w:t>
      </w:r>
      <w:r w:rsidRPr="00527302">
        <w:rPr>
          <w:rFonts w:ascii="Times New Roman" w:hAnsi="Times New Roman" w:cs="Times New Roman"/>
          <w:color w:val="000000" w:themeColor="text1"/>
          <w:sz w:val="24"/>
          <w:szCs w:val="24"/>
          <w:shd w:val="clear" w:color="auto" w:fill="FFFFFF"/>
        </w:rPr>
        <w:t xml:space="preserve">(3), 283-293. </w:t>
      </w:r>
      <w:hyperlink r:id="rId24" w:history="1">
        <w:r w:rsidRPr="00527302">
          <w:rPr>
            <w:rFonts w:ascii="Times New Roman" w:hAnsi="Times New Roman" w:cs="Times New Roman"/>
            <w:color w:val="000000" w:themeColor="text1"/>
            <w:sz w:val="24"/>
            <w:szCs w:val="24"/>
            <w:u w:val="single"/>
            <w:shd w:val="clear" w:color="auto" w:fill="FFFFFF"/>
          </w:rPr>
          <w:t>https://doi.org/10.1016/j.jamcollsurg.2019.12.003</w:t>
        </w:r>
      </w:hyperlink>
    </w:p>
    <w:p w14:paraId="55D72E13" w14:textId="4A68E988" w:rsidR="00310326" w:rsidRDefault="00494E13" w:rsidP="00494E13">
      <w:pPr>
        <w:spacing w:line="480" w:lineRule="auto"/>
        <w:ind w:left="720" w:hanging="720"/>
        <w:rPr>
          <w:rStyle w:val="Hyperlink"/>
          <w:rFonts w:ascii="Times New Roman" w:hAnsi="Times New Roman" w:cs="Times New Roman"/>
          <w:sz w:val="24"/>
          <w:szCs w:val="24"/>
          <w:shd w:val="clear" w:color="auto" w:fill="FFFFFF"/>
        </w:rPr>
      </w:pPr>
      <w:r w:rsidRPr="00494E13">
        <w:rPr>
          <w:rFonts w:ascii="Times New Roman" w:hAnsi="Times New Roman" w:cs="Times New Roman"/>
          <w:bCs/>
          <w:color w:val="333333"/>
          <w:sz w:val="24"/>
          <w:szCs w:val="24"/>
          <w:shd w:val="clear" w:color="auto" w:fill="FFFFFF"/>
        </w:rPr>
        <w:t>Marmon, L. M., &amp; Heiss, K. (2015). Improving surgeon wellness: The second victim syndrome and quality of care. </w:t>
      </w:r>
      <w:r w:rsidRPr="00494E13">
        <w:rPr>
          <w:rFonts w:ascii="Times New Roman" w:hAnsi="Times New Roman" w:cs="Times New Roman"/>
          <w:bCs/>
          <w:i/>
          <w:iCs/>
          <w:color w:val="333333"/>
          <w:sz w:val="24"/>
          <w:szCs w:val="24"/>
          <w:bdr w:val="none" w:sz="0" w:space="0" w:color="auto" w:frame="1"/>
          <w:shd w:val="clear" w:color="auto" w:fill="FFFFFF"/>
        </w:rPr>
        <w:t>Seminars in Pediatric Surgery</w:t>
      </w:r>
      <w:r w:rsidRPr="00494E13">
        <w:rPr>
          <w:rFonts w:ascii="Times New Roman" w:hAnsi="Times New Roman" w:cs="Times New Roman"/>
          <w:bCs/>
          <w:color w:val="333333"/>
          <w:sz w:val="24"/>
          <w:szCs w:val="24"/>
          <w:shd w:val="clear" w:color="auto" w:fill="FFFFFF"/>
        </w:rPr>
        <w:t>, </w:t>
      </w:r>
      <w:r w:rsidRPr="00494E13">
        <w:rPr>
          <w:rFonts w:ascii="Times New Roman" w:hAnsi="Times New Roman" w:cs="Times New Roman"/>
          <w:bCs/>
          <w:i/>
          <w:iCs/>
          <w:color w:val="333333"/>
          <w:sz w:val="24"/>
          <w:szCs w:val="24"/>
          <w:bdr w:val="none" w:sz="0" w:space="0" w:color="auto" w:frame="1"/>
          <w:shd w:val="clear" w:color="auto" w:fill="FFFFFF"/>
        </w:rPr>
        <w:t>24</w:t>
      </w:r>
      <w:r w:rsidRPr="00494E13">
        <w:rPr>
          <w:rFonts w:ascii="Times New Roman" w:hAnsi="Times New Roman" w:cs="Times New Roman"/>
          <w:bCs/>
          <w:color w:val="333333"/>
          <w:sz w:val="24"/>
          <w:szCs w:val="24"/>
          <w:shd w:val="clear" w:color="auto" w:fill="FFFFFF"/>
        </w:rPr>
        <w:t xml:space="preserve">(6), 315–318. </w:t>
      </w:r>
      <w:hyperlink r:id="rId25" w:history="1">
        <w:r w:rsidRPr="00494E13">
          <w:rPr>
            <w:rStyle w:val="Hyperlink"/>
            <w:rFonts w:ascii="Times New Roman" w:hAnsi="Times New Roman" w:cs="Times New Roman"/>
            <w:sz w:val="24"/>
            <w:szCs w:val="24"/>
            <w:shd w:val="clear" w:color="auto" w:fill="FFFFFF"/>
          </w:rPr>
          <w:t>https://doi.org/10.1053/j.sempedsurg.2015.08.011</w:t>
        </w:r>
      </w:hyperlink>
    </w:p>
    <w:p w14:paraId="6366DA06" w14:textId="77777777" w:rsidR="00834583" w:rsidRDefault="00834583" w:rsidP="00834583">
      <w:pPr>
        <w:spacing w:line="480" w:lineRule="auto"/>
        <w:ind w:left="720" w:hanging="720"/>
        <w:rPr>
          <w:rStyle w:val="Hyperlink"/>
          <w:rFonts w:ascii="Times New Roman" w:hAnsi="Times New Roman" w:cs="Times New Roman"/>
          <w:color w:val="auto"/>
          <w:sz w:val="24"/>
          <w:szCs w:val="24"/>
        </w:rPr>
      </w:pPr>
      <w:r w:rsidRPr="00834583">
        <w:rPr>
          <w:rStyle w:val="Hyperlink"/>
          <w:rFonts w:ascii="Times New Roman" w:hAnsi="Times New Roman" w:cs="Times New Roman"/>
          <w:color w:val="auto"/>
          <w:sz w:val="24"/>
          <w:szCs w:val="24"/>
          <w:u w:val="none"/>
        </w:rPr>
        <w:t xml:space="preserve">Orri, M., Revah-Levy, A., Farges, O. (2015). Surgeons' emotional experience of their everyday practice-A qualitative study. </w:t>
      </w:r>
      <w:r w:rsidRPr="00834583">
        <w:rPr>
          <w:rStyle w:val="Hyperlink"/>
          <w:rFonts w:ascii="Times New Roman" w:hAnsi="Times New Roman" w:cs="Times New Roman"/>
          <w:i/>
          <w:iCs/>
          <w:color w:val="auto"/>
          <w:sz w:val="24"/>
          <w:szCs w:val="24"/>
          <w:u w:val="none"/>
        </w:rPr>
        <w:t>PLOSONE 10</w:t>
      </w:r>
      <w:r w:rsidRPr="00834583">
        <w:rPr>
          <w:rStyle w:val="Hyperlink"/>
          <w:rFonts w:ascii="Times New Roman" w:hAnsi="Times New Roman" w:cs="Times New Roman"/>
          <w:color w:val="auto"/>
          <w:sz w:val="24"/>
          <w:szCs w:val="24"/>
          <w:u w:val="none"/>
        </w:rPr>
        <w:t>(11), e143763.</w:t>
      </w:r>
      <w:r w:rsidRPr="00834583">
        <w:rPr>
          <w:rStyle w:val="Hyperlink"/>
          <w:rFonts w:ascii="Times New Roman" w:hAnsi="Times New Roman" w:cs="Times New Roman"/>
          <w:color w:val="auto"/>
          <w:sz w:val="24"/>
          <w:szCs w:val="24"/>
        </w:rPr>
        <w:t xml:space="preserve"> https://doi.org /10.1371/journal.pone.0143763</w:t>
      </w:r>
    </w:p>
    <w:p w14:paraId="34CB8745" w14:textId="77777777" w:rsidR="00A41060" w:rsidRDefault="00A41060" w:rsidP="00A41060">
      <w:pPr>
        <w:spacing w:line="480" w:lineRule="auto"/>
        <w:ind w:left="720" w:hanging="720"/>
        <w:rPr>
          <w:rFonts w:ascii="Times New Roman" w:hAnsi="Times New Roman" w:cs="Times New Roman"/>
          <w:color w:val="000000" w:themeColor="text1"/>
          <w:u w:val="single"/>
        </w:rPr>
      </w:pPr>
      <w:r w:rsidRPr="00A41060">
        <w:rPr>
          <w:rFonts w:ascii="Times New Roman" w:hAnsi="Times New Roman" w:cs="Times New Roman"/>
        </w:rPr>
        <w:t>Oslock, W.</w:t>
      </w:r>
      <w:r w:rsidRPr="00A41060">
        <w:rPr>
          <w:rFonts w:ascii="Times New Roman" w:hAnsi="Times New Roman" w:cs="Times New Roman"/>
          <w:color w:val="000000" w:themeColor="text1"/>
        </w:rPr>
        <w:t xml:space="preserve"> M., Satiani, B., Way, D. P., Tamer, R. M., Maurer, J., Hawley, J. D., Sharp, K. L., Williams, T. E., Pawlik, T. M., Ellison, C. E., Santry, H. P. (2022). A contemporary reassessment of the US surgical workforce through 2050 predicts continued shortages and increased productivity demands. </w:t>
      </w:r>
      <w:r w:rsidRPr="00A41060">
        <w:rPr>
          <w:rFonts w:ascii="Times New Roman" w:hAnsi="Times New Roman" w:cs="Times New Roman"/>
          <w:i/>
          <w:iCs/>
          <w:color w:val="000000" w:themeColor="text1"/>
        </w:rPr>
        <w:t>American Journal of Surgery 223</w:t>
      </w:r>
      <w:r w:rsidRPr="00A41060">
        <w:rPr>
          <w:rFonts w:ascii="Times New Roman" w:hAnsi="Times New Roman" w:cs="Times New Roman"/>
          <w:color w:val="000000" w:themeColor="text1"/>
        </w:rPr>
        <w:t xml:space="preserve">(1), 28-35. </w:t>
      </w:r>
      <w:hyperlink r:id="rId26" w:history="1">
        <w:r w:rsidRPr="00A41060">
          <w:rPr>
            <w:rFonts w:ascii="Times New Roman" w:hAnsi="Times New Roman" w:cs="Times New Roman"/>
            <w:color w:val="000000" w:themeColor="text1"/>
            <w:u w:val="single"/>
          </w:rPr>
          <w:t>https://doi.org/10.1016/j.amsurg.2021.07.033</w:t>
        </w:r>
      </w:hyperlink>
    </w:p>
    <w:p w14:paraId="387552BD" w14:textId="384C2775" w:rsidR="00A915EE" w:rsidRDefault="00A915EE" w:rsidP="00A41060">
      <w:pPr>
        <w:spacing w:line="480" w:lineRule="auto"/>
        <w:ind w:left="720" w:hanging="720"/>
        <w:rPr>
          <w:rFonts w:ascii="Times New Roman" w:hAnsi="Times New Roman" w:cs="Times New Roman"/>
          <w:color w:val="000000" w:themeColor="text1"/>
          <w:u w:val="single"/>
        </w:rPr>
      </w:pPr>
      <w:r w:rsidRPr="00A915EE">
        <w:rPr>
          <w:rFonts w:ascii="Times New Roman" w:hAnsi="Times New Roman" w:cs="Times New Roman"/>
          <w:sz w:val="24"/>
          <w:szCs w:val="24"/>
        </w:rPr>
        <w:t>Patel, A.</w:t>
      </w:r>
      <w:r w:rsidRPr="00A915EE">
        <w:rPr>
          <w:rFonts w:ascii="Times New Roman" w:hAnsi="Times New Roman" w:cs="Times New Roman"/>
          <w:color w:val="000000" w:themeColor="text1"/>
          <w:sz w:val="24"/>
          <w:szCs w:val="24"/>
        </w:rPr>
        <w:t xml:space="preserve"> M., Ingalls, N. K., Mansour, M. A, Sherman, S., Davis A. T., </w:t>
      </w:r>
      <w:r w:rsidRPr="00A915EE">
        <w:rPr>
          <w:rFonts w:ascii="Times New Roman" w:hAnsi="Times New Roman" w:cs="Times New Roman"/>
          <w:sz w:val="24"/>
          <w:szCs w:val="24"/>
        </w:rPr>
        <w:t xml:space="preserve">&amp; </w:t>
      </w:r>
      <w:r w:rsidRPr="00A915EE">
        <w:rPr>
          <w:rFonts w:ascii="Times New Roman" w:hAnsi="Times New Roman" w:cs="Times New Roman"/>
          <w:color w:val="000000" w:themeColor="text1"/>
          <w:sz w:val="24"/>
          <w:szCs w:val="24"/>
        </w:rPr>
        <w:t xml:space="preserve">Chug, M. H. (2010). Collateral damage: The effect of patient complications on the surgeon’s psyche. </w:t>
      </w:r>
      <w:r w:rsidRPr="00A915EE">
        <w:rPr>
          <w:rFonts w:ascii="Times New Roman" w:hAnsi="Times New Roman" w:cs="Times New Roman"/>
          <w:i/>
          <w:iCs/>
          <w:color w:val="000000" w:themeColor="text1"/>
          <w:sz w:val="24"/>
          <w:szCs w:val="24"/>
        </w:rPr>
        <w:t>Surgery 148</w:t>
      </w:r>
      <w:r w:rsidRPr="00A915EE">
        <w:rPr>
          <w:rFonts w:ascii="Times New Roman" w:hAnsi="Times New Roman" w:cs="Times New Roman"/>
          <w:color w:val="000000" w:themeColor="text1"/>
          <w:sz w:val="24"/>
          <w:szCs w:val="24"/>
        </w:rPr>
        <w:t xml:space="preserve">(4), 834–830. </w:t>
      </w:r>
      <w:hyperlink r:id="rId27" w:history="1">
        <w:r w:rsidRPr="00A915EE">
          <w:rPr>
            <w:rFonts w:ascii="Times New Roman" w:hAnsi="Times New Roman" w:cs="Times New Roman"/>
            <w:color w:val="000000" w:themeColor="text1"/>
            <w:sz w:val="24"/>
            <w:szCs w:val="24"/>
            <w:u w:val="single"/>
          </w:rPr>
          <w:t>https://doi.org/10.1016/j.surg.2010.07.024</w:t>
        </w:r>
      </w:hyperlink>
    </w:p>
    <w:p w14:paraId="5BEB5C2E" w14:textId="77777777" w:rsidR="001346E1" w:rsidRDefault="001346E1" w:rsidP="001346E1">
      <w:pPr>
        <w:spacing w:line="480" w:lineRule="auto"/>
        <w:ind w:left="720" w:hanging="720"/>
        <w:rPr>
          <w:rStyle w:val="Hyperlink"/>
          <w:rFonts w:ascii="Times New Roman" w:hAnsi="Times New Roman" w:cs="Times New Roman"/>
          <w:sz w:val="24"/>
          <w:szCs w:val="24"/>
        </w:rPr>
      </w:pPr>
      <w:r w:rsidRPr="001346E1">
        <w:rPr>
          <w:rFonts w:ascii="Times New Roman" w:hAnsi="Times New Roman" w:cs="Times New Roman"/>
          <w:sz w:val="24"/>
          <w:szCs w:val="24"/>
        </w:rPr>
        <w:t xml:space="preserve">Pinto, A., Faiz, O., Bicknell, C., Vincent, C. (2014). Acute traumatic stress among surgeons after major surgical complications. </w:t>
      </w:r>
      <w:r w:rsidRPr="001346E1">
        <w:rPr>
          <w:rFonts w:ascii="Times New Roman" w:hAnsi="Times New Roman" w:cs="Times New Roman"/>
          <w:i/>
          <w:iCs/>
          <w:sz w:val="24"/>
          <w:szCs w:val="24"/>
        </w:rPr>
        <w:t>The American Journal of Surgery,208</w:t>
      </w:r>
      <w:r w:rsidRPr="001346E1">
        <w:rPr>
          <w:rFonts w:ascii="Times New Roman" w:hAnsi="Times New Roman" w:cs="Times New Roman"/>
          <w:sz w:val="24"/>
          <w:szCs w:val="24"/>
        </w:rPr>
        <w:t>(4),642-647</w:t>
      </w:r>
      <w:r w:rsidRPr="001346E1">
        <w:rPr>
          <w:rFonts w:ascii="Times New Roman" w:hAnsi="Times New Roman" w:cs="Times New Roman"/>
          <w:i/>
          <w:iCs/>
          <w:sz w:val="24"/>
          <w:szCs w:val="24"/>
        </w:rPr>
        <w:t>.</w:t>
      </w:r>
      <w:r w:rsidRPr="001346E1">
        <w:rPr>
          <w:rFonts w:ascii="Times New Roman" w:hAnsi="Times New Roman" w:cs="Times New Roman"/>
          <w:sz w:val="24"/>
          <w:szCs w:val="24"/>
        </w:rPr>
        <w:t xml:space="preserve"> </w:t>
      </w:r>
      <w:hyperlink r:id="rId28" w:history="1">
        <w:r w:rsidRPr="001346E1">
          <w:rPr>
            <w:rStyle w:val="Hyperlink"/>
            <w:rFonts w:ascii="Times New Roman" w:hAnsi="Times New Roman" w:cs="Times New Roman"/>
            <w:sz w:val="24"/>
            <w:szCs w:val="24"/>
          </w:rPr>
          <w:t>https://www.sciencedirect.com/science/article/abs/pii/S0002961014003766</w:t>
        </w:r>
      </w:hyperlink>
    </w:p>
    <w:p w14:paraId="7EB53DBE" w14:textId="0EED013E" w:rsidR="007E7E22" w:rsidRPr="00A41060" w:rsidRDefault="00D21B93" w:rsidP="00A41060">
      <w:pPr>
        <w:spacing w:line="480" w:lineRule="auto"/>
        <w:ind w:left="720" w:hanging="720"/>
        <w:rPr>
          <w:rFonts w:ascii="Times New Roman" w:hAnsi="Times New Roman" w:cs="Times New Roman"/>
          <w:color w:val="000000" w:themeColor="text1"/>
          <w:u w:val="single"/>
        </w:rPr>
      </w:pPr>
      <w:r w:rsidRPr="00D21B93">
        <w:rPr>
          <w:rFonts w:ascii="Times New Roman" w:hAnsi="Times New Roman" w:cs="Times New Roman"/>
          <w:sz w:val="24"/>
          <w:szCs w:val="24"/>
        </w:rPr>
        <w:t>Saunder, M.</w:t>
      </w:r>
      <w:r w:rsidRPr="00D21B93">
        <w:rPr>
          <w:rFonts w:ascii="Times New Roman" w:hAnsi="Times New Roman" w:cs="Times New Roman"/>
          <w:color w:val="000000" w:themeColor="text1"/>
          <w:sz w:val="24"/>
          <w:szCs w:val="24"/>
          <w:u w:val="single"/>
        </w:rPr>
        <w:t>,</w:t>
      </w:r>
      <w:r w:rsidRPr="00D21B93">
        <w:rPr>
          <w:rFonts w:ascii="Times New Roman" w:hAnsi="Times New Roman" w:cs="Times New Roman"/>
          <w:color w:val="000000" w:themeColor="text1"/>
          <w:sz w:val="24"/>
          <w:szCs w:val="24"/>
        </w:rPr>
        <w:t xml:space="preserve"> Zagales, I., Zagales, R., Das, S., Sen-Crowe, B., Biliski, T., Kornblith, L., </w:t>
      </w:r>
      <w:r w:rsidRPr="00D21B93">
        <w:rPr>
          <w:rFonts w:ascii="Times New Roman" w:hAnsi="Times New Roman" w:cs="Times New Roman"/>
          <w:sz w:val="24"/>
          <w:szCs w:val="24"/>
        </w:rPr>
        <w:t xml:space="preserve">&amp; </w:t>
      </w:r>
      <w:r w:rsidRPr="00D21B93">
        <w:rPr>
          <w:rFonts w:ascii="Times New Roman" w:hAnsi="Times New Roman" w:cs="Times New Roman"/>
          <w:color w:val="000000" w:themeColor="text1"/>
          <w:sz w:val="24"/>
          <w:szCs w:val="24"/>
        </w:rPr>
        <w:t xml:space="preserve">Elkbuli, A. (2022). Comprehensive assessment of burnout among surgical trainees and practicing surgeons: A systematic review. </w:t>
      </w:r>
      <w:r w:rsidRPr="00D21B93">
        <w:rPr>
          <w:rFonts w:ascii="Times New Roman" w:hAnsi="Times New Roman" w:cs="Times New Roman"/>
          <w:i/>
          <w:iCs/>
          <w:color w:val="000000" w:themeColor="text1"/>
          <w:sz w:val="24"/>
          <w:szCs w:val="24"/>
        </w:rPr>
        <w:t>Journal of Surgical Education 79</w:t>
      </w:r>
      <w:r w:rsidRPr="00D21B93">
        <w:rPr>
          <w:rFonts w:ascii="Times New Roman" w:hAnsi="Times New Roman" w:cs="Times New Roman"/>
          <w:color w:val="000000" w:themeColor="text1"/>
          <w:sz w:val="24"/>
          <w:szCs w:val="24"/>
        </w:rPr>
        <w:t>(5), 1188-1205.</w:t>
      </w:r>
      <w:r w:rsidRPr="00D21B93">
        <w:rPr>
          <w:rFonts w:ascii="Times New Roman" w:hAnsi="Times New Roman" w:cs="Times New Roman"/>
          <w:sz w:val="24"/>
          <w:szCs w:val="24"/>
        </w:rPr>
        <w:t xml:space="preserve"> </w:t>
      </w:r>
      <w:hyperlink r:id="rId29" w:history="1">
        <w:r w:rsidRPr="00D21B93">
          <w:rPr>
            <w:rFonts w:ascii="Times New Roman" w:hAnsi="Times New Roman" w:cs="Times New Roman"/>
            <w:color w:val="000000" w:themeColor="text1"/>
            <w:sz w:val="24"/>
            <w:szCs w:val="24"/>
            <w:u w:val="single"/>
          </w:rPr>
          <w:t>https://doi.org/10.1016/j.jsurg.2022.04.009</w:t>
        </w:r>
      </w:hyperlink>
    </w:p>
    <w:p w14:paraId="4C3E5031" w14:textId="3E664B82" w:rsidR="00A41060" w:rsidRDefault="007E7E22" w:rsidP="00494E13">
      <w:pPr>
        <w:spacing w:line="480" w:lineRule="auto"/>
        <w:ind w:left="720" w:hanging="720"/>
        <w:rPr>
          <w:rStyle w:val="Hyperlink"/>
          <w:rFonts w:ascii="Times New Roman" w:hAnsi="Times New Roman" w:cs="Times New Roman"/>
          <w:sz w:val="24"/>
          <w:szCs w:val="24"/>
          <w:shd w:val="clear" w:color="auto" w:fill="FFFFFF"/>
        </w:rPr>
      </w:pPr>
      <w:r w:rsidRPr="007E7E22">
        <w:rPr>
          <w:rFonts w:ascii="Times New Roman" w:hAnsi="Times New Roman" w:cs="Times New Roman"/>
          <w:bCs/>
          <w:sz w:val="24"/>
          <w:szCs w:val="24"/>
        </w:rPr>
        <w:t>Shanafelt, T.</w:t>
      </w:r>
      <w:r w:rsidRPr="007E7E22">
        <w:rPr>
          <w:rFonts w:ascii="Times New Roman" w:hAnsi="Times New Roman" w:cs="Times New Roman"/>
          <w:bCs/>
          <w:color w:val="000000" w:themeColor="text1"/>
          <w:sz w:val="24"/>
          <w:szCs w:val="24"/>
        </w:rPr>
        <w:t xml:space="preserve"> D., Balch, C. M., Bechamps, G. J., Russell, T., Dyrbye, L., Satele, D., Collicott, P., Novotny, P. J., Sloan, J., Freischlag, J. A. (2009). Burnout and career satisfaction among American surgeons. </w:t>
      </w:r>
      <w:r w:rsidRPr="007E7E22">
        <w:rPr>
          <w:rFonts w:ascii="Times New Roman" w:hAnsi="Times New Roman" w:cs="Times New Roman"/>
          <w:bCs/>
          <w:i/>
          <w:iCs/>
          <w:color w:val="000000" w:themeColor="text1"/>
          <w:sz w:val="24"/>
          <w:szCs w:val="24"/>
        </w:rPr>
        <w:t>Annals of Surgery 250</w:t>
      </w:r>
      <w:r w:rsidRPr="007E7E22">
        <w:rPr>
          <w:rFonts w:ascii="Times New Roman" w:hAnsi="Times New Roman" w:cs="Times New Roman"/>
          <w:bCs/>
          <w:color w:val="000000" w:themeColor="text1"/>
          <w:sz w:val="24"/>
          <w:szCs w:val="24"/>
        </w:rPr>
        <w:t>(3), 463-471. https://doi.org/10.1097/SLA.0b013e3181ac4dfd</w:t>
      </w:r>
    </w:p>
    <w:p w14:paraId="62F68BE9" w14:textId="77777777" w:rsidR="000772A4" w:rsidRDefault="000772A4" w:rsidP="00CF64DF">
      <w:pPr>
        <w:spacing w:before="100" w:beforeAutospacing="1" w:after="100" w:afterAutospacing="1" w:line="480" w:lineRule="auto"/>
        <w:ind w:left="720" w:hanging="720"/>
        <w:rPr>
          <w:rFonts w:ascii="Times New Roman" w:eastAsia="Times New Roman" w:hAnsi="Times New Roman" w:cs="Times New Roman"/>
          <w:color w:val="0000FF"/>
          <w:sz w:val="24"/>
          <w:szCs w:val="24"/>
          <w:u w:val="single"/>
        </w:rPr>
      </w:pPr>
      <w:r w:rsidRPr="000772A4">
        <w:rPr>
          <w:rFonts w:ascii="Times New Roman" w:eastAsia="Times New Roman" w:hAnsi="Times New Roman" w:cs="Times New Roman"/>
          <w:sz w:val="24"/>
          <w:szCs w:val="24"/>
        </w:rPr>
        <w:t xml:space="preserve">Scott, S. D., Hirschinger, L. E., Cox, K. R., McCoig, M., Brandt, J., &amp; Hall, L. W. (2009). The natural history of recovery for healthcare providers "second victim" after adverse patient events. Quality and Safety in Healthcare, 8(5), 325-330. </w:t>
      </w:r>
      <w:hyperlink r:id="rId30" w:history="1">
        <w:r w:rsidRPr="000772A4">
          <w:rPr>
            <w:rFonts w:ascii="Times New Roman" w:eastAsia="Times New Roman" w:hAnsi="Times New Roman" w:cs="Times New Roman"/>
            <w:color w:val="0000FF"/>
            <w:sz w:val="24"/>
            <w:szCs w:val="24"/>
            <w:u w:val="single"/>
          </w:rPr>
          <w:t>Https://doi.10.1136/qshc.2009.032870</w:t>
        </w:r>
      </w:hyperlink>
    </w:p>
    <w:p w14:paraId="074978BE" w14:textId="77777777" w:rsidR="00401656" w:rsidRPr="005848DA" w:rsidRDefault="00401656" w:rsidP="00401656">
      <w:pPr>
        <w:spacing w:line="480" w:lineRule="auto"/>
        <w:ind w:left="720" w:hanging="720"/>
        <w:rPr>
          <w:rStyle w:val="Hyperlink"/>
          <w:rFonts w:ascii="Times New Roman" w:hAnsi="Times New Roman" w:cs="Times New Roman"/>
          <w:bCs/>
          <w:sz w:val="24"/>
          <w:szCs w:val="24"/>
        </w:rPr>
      </w:pPr>
      <w:r w:rsidRPr="005848DA">
        <w:rPr>
          <w:rFonts w:ascii="Times New Roman" w:hAnsi="Times New Roman" w:cs="Times New Roman"/>
          <w:bCs/>
          <w:sz w:val="24"/>
          <w:szCs w:val="24"/>
        </w:rPr>
        <w:t xml:space="preserve">Seys, D., Wu, A. W., Van Gerven, E., Vleugels, A., Euwema, M, Panella, M., Scott, S. D., Conway, J., Sermeus, W., Vanhaecht, K. (2012). Healthcare professionals as second victims after adverse events: A systematic review. </w:t>
      </w:r>
      <w:r w:rsidRPr="005848DA">
        <w:rPr>
          <w:rFonts w:ascii="Times New Roman" w:hAnsi="Times New Roman" w:cs="Times New Roman"/>
          <w:bCs/>
          <w:i/>
          <w:iCs/>
          <w:sz w:val="24"/>
          <w:szCs w:val="24"/>
        </w:rPr>
        <w:t>Evaluation &amp; the Health Professions 36</w:t>
      </w:r>
      <w:r w:rsidRPr="005848DA">
        <w:rPr>
          <w:rFonts w:ascii="Times New Roman" w:hAnsi="Times New Roman" w:cs="Times New Roman"/>
          <w:bCs/>
          <w:sz w:val="24"/>
          <w:szCs w:val="24"/>
        </w:rPr>
        <w:t xml:space="preserve">(2),135-162. </w:t>
      </w:r>
      <w:hyperlink r:id="rId31" w:history="1">
        <w:r w:rsidRPr="005848DA">
          <w:rPr>
            <w:rStyle w:val="Hyperlink"/>
            <w:rFonts w:ascii="Times New Roman" w:hAnsi="Times New Roman" w:cs="Times New Roman"/>
            <w:sz w:val="24"/>
            <w:szCs w:val="24"/>
          </w:rPr>
          <w:t>http://doi.10.1177/0163278712458918</w:t>
        </w:r>
      </w:hyperlink>
    </w:p>
    <w:p w14:paraId="204A8A4E" w14:textId="3E89A5F9" w:rsidR="00401656" w:rsidRDefault="00401656" w:rsidP="00401656">
      <w:pPr>
        <w:pStyle w:val="APA"/>
        <w:ind w:left="720" w:hanging="720"/>
        <w:rPr>
          <w:rFonts w:ascii="Segoe UI" w:hAnsi="Segoe UI" w:cs="Segoe UI"/>
          <w:color w:val="212121"/>
          <w:shd w:val="clear" w:color="auto" w:fill="FFFFFF"/>
        </w:rPr>
      </w:pPr>
      <w:r>
        <w:t>Srinivasa, S</w:t>
      </w:r>
      <w:r w:rsidRPr="00401656">
        <w:t>.</w:t>
      </w:r>
      <w:r w:rsidRPr="00401656">
        <w:rPr>
          <w:rStyle w:val="Hyperlink"/>
          <w:rFonts w:eastAsiaTheme="majorEastAsia"/>
          <w:color w:val="auto"/>
          <w:u w:val="none"/>
        </w:rPr>
        <w:t xml:space="preserve">, Gurney, J., Koea, J. (2019). Potential consequences of patient complications for surgeon wellbeing a systematic review. </w:t>
      </w:r>
      <w:r w:rsidRPr="00401656">
        <w:rPr>
          <w:rStyle w:val="Hyperlink"/>
          <w:rFonts w:eastAsiaTheme="majorEastAsia"/>
          <w:i/>
          <w:iCs/>
          <w:color w:val="auto"/>
          <w:u w:val="none"/>
        </w:rPr>
        <w:t>JAMA Surgery 154</w:t>
      </w:r>
      <w:r w:rsidRPr="00401656">
        <w:rPr>
          <w:rStyle w:val="Hyperlink"/>
          <w:rFonts w:eastAsiaTheme="majorEastAsia"/>
          <w:color w:val="auto"/>
          <w:u w:val="none"/>
        </w:rPr>
        <w:t>(5), 451-457.</w:t>
      </w:r>
      <w:r w:rsidRPr="00401656">
        <w:rPr>
          <w:rStyle w:val="Hyperlink"/>
          <w:rFonts w:eastAsiaTheme="majorEastAsia"/>
          <w:color w:val="auto"/>
        </w:rPr>
        <w:t xml:space="preserve"> </w:t>
      </w:r>
      <w:hyperlink r:id="rId32" w:history="1">
        <w:r w:rsidRPr="00A715B6">
          <w:rPr>
            <w:rStyle w:val="Hyperlink"/>
            <w:rFonts w:eastAsiaTheme="majorEastAsia"/>
          </w:rPr>
          <w:t>https://doi</w:t>
        </w:r>
      </w:hyperlink>
      <w:r>
        <w:rPr>
          <w:rStyle w:val="Hyperlink"/>
          <w:rFonts w:eastAsiaTheme="majorEastAsia"/>
        </w:rPr>
        <w:t xml:space="preserve">: </w:t>
      </w:r>
      <w:r w:rsidR="0047271C">
        <w:rPr>
          <w:rStyle w:val="Hyperlink"/>
          <w:rFonts w:eastAsiaTheme="majorEastAsia"/>
        </w:rPr>
        <w:t>1</w:t>
      </w:r>
      <w:r>
        <w:rPr>
          <w:rStyle w:val="Hyperlink"/>
          <w:rFonts w:eastAsiaTheme="majorEastAsia"/>
        </w:rPr>
        <w:t>0.1001/jamasurg.2018.5640</w:t>
      </w:r>
      <w:r>
        <w:rPr>
          <w:rFonts w:ascii="Segoe UI" w:hAnsi="Segoe UI" w:cs="Segoe UI"/>
          <w:color w:val="212121"/>
          <w:shd w:val="clear" w:color="auto" w:fill="FFFFFF"/>
        </w:rPr>
        <w:t> </w:t>
      </w:r>
    </w:p>
    <w:p w14:paraId="3BE0E859" w14:textId="77777777" w:rsidR="00615AA2" w:rsidRDefault="00615AA2" w:rsidP="00615AA2">
      <w:pPr>
        <w:pStyle w:val="APA"/>
        <w:ind w:left="720" w:hanging="720"/>
        <w:rPr>
          <w:rStyle w:val="Hyperlink"/>
          <w:rFonts w:eastAsiaTheme="majorEastAsia"/>
        </w:rPr>
      </w:pPr>
      <w:r w:rsidRPr="00A807E5">
        <w:t>Stuk</w:t>
      </w:r>
      <w:r>
        <w:t xml:space="preserve">alin, I., Lethebe, B. C., &amp; Temple, W. (2019). The physician's Achilles heel-surviving an adverse event. </w:t>
      </w:r>
      <w:r w:rsidRPr="00A807E5">
        <w:rPr>
          <w:i/>
          <w:iCs/>
        </w:rPr>
        <w:t>Current Oncology, 26</w:t>
      </w:r>
      <w:r>
        <w:rPr>
          <w:i/>
          <w:iCs/>
        </w:rPr>
        <w:t>(</w:t>
      </w:r>
      <w:r>
        <w:t xml:space="preserve">6), e742-747. </w:t>
      </w:r>
      <w:hyperlink r:id="rId33" w:history="1">
        <w:r w:rsidRPr="0046113B">
          <w:rPr>
            <w:rFonts w:eastAsia="Calibri"/>
            <w:color w:val="0000FF"/>
            <w:szCs w:val="22"/>
            <w:u w:val="single"/>
          </w:rPr>
          <w:t>The physician's Achilles heel-surviving an adverse event - PubMed (nih.gov)</w:t>
        </w:r>
      </w:hyperlink>
      <w:r>
        <w:t xml:space="preserve"> </w:t>
      </w:r>
      <w:hyperlink r:id="rId34" w:history="1">
        <w:r w:rsidRPr="00D90471">
          <w:rPr>
            <w:rStyle w:val="Hyperlink"/>
            <w:rFonts w:eastAsiaTheme="majorEastAsia"/>
          </w:rPr>
          <w:t>https://doi.org/10.3747/co.26.5433</w:t>
        </w:r>
      </w:hyperlink>
    </w:p>
    <w:p w14:paraId="6656447D" w14:textId="185079E0" w:rsidR="00906D52" w:rsidRDefault="00906D52" w:rsidP="00906D52">
      <w:pPr>
        <w:pStyle w:val="APA"/>
        <w:ind w:left="720" w:hanging="720"/>
        <w:rPr>
          <w:rStyle w:val="Hyperlink"/>
          <w:rFonts w:eastAsiaTheme="majorEastAsia"/>
        </w:rPr>
      </w:pPr>
      <w:r>
        <w:t>Thompson, C</w:t>
      </w:r>
      <w:r w:rsidRPr="00906D52">
        <w:t>.</w:t>
      </w:r>
      <w:r w:rsidRPr="00906D52">
        <w:rPr>
          <w:rStyle w:val="Hyperlink"/>
          <w:rFonts w:eastAsiaTheme="majorEastAsia"/>
          <w:u w:val="none"/>
        </w:rPr>
        <w:t xml:space="preserve"> </w:t>
      </w:r>
      <w:r w:rsidRPr="00906D52">
        <w:rPr>
          <w:rStyle w:val="Hyperlink"/>
          <w:rFonts w:eastAsiaTheme="majorEastAsia"/>
          <w:color w:val="auto"/>
          <w:u w:val="none"/>
        </w:rPr>
        <w:t xml:space="preserve">V., Naumann, D. N., Fellows, J. L., Bowley, D. M., Suggett, N. (2017). Post-traumatic stress disorder amongst surgical trainees: An unrecognized risk? </w:t>
      </w:r>
      <w:r w:rsidRPr="00906D52">
        <w:rPr>
          <w:rStyle w:val="Hyperlink"/>
          <w:rFonts w:eastAsiaTheme="majorEastAsia"/>
          <w:i/>
          <w:iCs/>
          <w:color w:val="auto"/>
          <w:u w:val="none"/>
        </w:rPr>
        <w:t>The Surgeon,</w:t>
      </w:r>
      <w:r w:rsidRPr="00906D52">
        <w:rPr>
          <w:rStyle w:val="Hyperlink"/>
          <w:rFonts w:eastAsiaTheme="majorEastAsia"/>
          <w:color w:val="auto"/>
          <w:u w:val="none"/>
        </w:rPr>
        <w:t xml:space="preserve"> </w:t>
      </w:r>
      <w:r w:rsidRPr="00906D52">
        <w:rPr>
          <w:rStyle w:val="Hyperlink"/>
          <w:rFonts w:eastAsiaTheme="majorEastAsia"/>
          <w:i/>
          <w:iCs/>
          <w:color w:val="auto"/>
          <w:u w:val="none"/>
        </w:rPr>
        <w:t xml:space="preserve">Journal of the Royal Colleges of Surgeons of </w:t>
      </w:r>
      <w:r w:rsidR="00912344" w:rsidRPr="00906D52">
        <w:rPr>
          <w:rStyle w:val="Hyperlink"/>
          <w:rFonts w:eastAsiaTheme="majorEastAsia"/>
          <w:i/>
          <w:iCs/>
          <w:color w:val="auto"/>
          <w:u w:val="none"/>
        </w:rPr>
        <w:t>Edinburgh</w:t>
      </w:r>
      <w:r w:rsidR="00912344">
        <w:rPr>
          <w:rStyle w:val="Hyperlink"/>
          <w:rFonts w:eastAsiaTheme="majorEastAsia"/>
          <w:i/>
          <w:iCs/>
          <w:color w:val="auto"/>
          <w:u w:val="none"/>
        </w:rPr>
        <w:t xml:space="preserve"> </w:t>
      </w:r>
      <w:r w:rsidRPr="00906D52">
        <w:rPr>
          <w:rStyle w:val="Hyperlink"/>
          <w:rFonts w:eastAsiaTheme="majorEastAsia"/>
          <w:i/>
          <w:iCs/>
          <w:color w:val="auto"/>
          <w:u w:val="none"/>
        </w:rPr>
        <w:t>and Ireland 15</w:t>
      </w:r>
      <w:r w:rsidRPr="00906D52">
        <w:rPr>
          <w:rStyle w:val="Hyperlink"/>
          <w:rFonts w:eastAsiaTheme="majorEastAsia"/>
          <w:color w:val="auto"/>
          <w:u w:val="none"/>
        </w:rPr>
        <w:t>, 123-130.</w:t>
      </w:r>
      <w:r w:rsidRPr="00906D52">
        <w:rPr>
          <w:rStyle w:val="Hyperlink"/>
          <w:rFonts w:eastAsiaTheme="majorEastAsia"/>
          <w:color w:val="auto"/>
        </w:rPr>
        <w:t xml:space="preserve"> </w:t>
      </w:r>
      <w:hyperlink r:id="rId35" w:history="1">
        <w:r w:rsidRPr="00DF6B36">
          <w:rPr>
            <w:rStyle w:val="Hyperlink"/>
            <w:rFonts w:eastAsiaTheme="majorEastAsia"/>
          </w:rPr>
          <w:t>http://dx.doi.org/10.1016/j.surge.2015.09.002</w:t>
        </w:r>
      </w:hyperlink>
    </w:p>
    <w:p w14:paraId="246C65C5" w14:textId="0CBB465D" w:rsidR="00C8166F" w:rsidRDefault="00C8166F" w:rsidP="00C8166F">
      <w:pPr>
        <w:pStyle w:val="APA"/>
        <w:ind w:left="720" w:hanging="720"/>
        <w:rPr>
          <w:rStyle w:val="Hyperlink"/>
          <w:rFonts w:eastAsiaTheme="majorEastAsia"/>
        </w:rPr>
      </w:pPr>
      <w:r>
        <w:t>Trockel, M</w:t>
      </w:r>
      <w:r w:rsidRPr="00C8166F">
        <w:t>.</w:t>
      </w:r>
      <w:r w:rsidRPr="00C8166F">
        <w:rPr>
          <w:rStyle w:val="Hyperlink"/>
          <w:rFonts w:eastAsiaTheme="majorEastAsia"/>
          <w:color w:val="auto"/>
          <w:u w:val="none"/>
        </w:rPr>
        <w:t xml:space="preserve">, Bohaman, B., Lesure, E., Hamidi, M. S., Welle, D., Roberts, L., Shanafelt, T. (2018). </w:t>
      </w:r>
      <w:r w:rsidR="00A433B1">
        <w:rPr>
          <w:rStyle w:val="Hyperlink"/>
          <w:rFonts w:eastAsiaTheme="majorEastAsia"/>
          <w:color w:val="auto"/>
          <w:u w:val="none"/>
        </w:rPr>
        <w:t xml:space="preserve">A brief instrument to assess both burnout and professional fulfillment in </w:t>
      </w:r>
      <w:r w:rsidR="00C02D9B">
        <w:rPr>
          <w:rStyle w:val="Hyperlink"/>
          <w:rFonts w:eastAsiaTheme="majorEastAsia"/>
          <w:color w:val="auto"/>
          <w:u w:val="none"/>
        </w:rPr>
        <w:t>physicians</w:t>
      </w:r>
      <w:r w:rsidR="00A433B1">
        <w:rPr>
          <w:rStyle w:val="Hyperlink"/>
          <w:rFonts w:eastAsiaTheme="majorEastAsia"/>
          <w:color w:val="auto"/>
          <w:u w:val="none"/>
        </w:rPr>
        <w:t xml:space="preserve">; </w:t>
      </w:r>
      <w:r w:rsidR="00C02D9B">
        <w:rPr>
          <w:rStyle w:val="Hyperlink"/>
          <w:rFonts w:eastAsiaTheme="majorEastAsia"/>
          <w:color w:val="auto"/>
          <w:u w:val="none"/>
        </w:rPr>
        <w:t>Reliability</w:t>
      </w:r>
      <w:r w:rsidR="00A433B1">
        <w:rPr>
          <w:rStyle w:val="Hyperlink"/>
          <w:rFonts w:eastAsiaTheme="majorEastAsia"/>
          <w:color w:val="auto"/>
          <w:u w:val="none"/>
        </w:rPr>
        <w:t xml:space="preserve"> and validity, including correlation </w:t>
      </w:r>
      <w:r w:rsidR="00C02D9B">
        <w:rPr>
          <w:rStyle w:val="Hyperlink"/>
          <w:rFonts w:eastAsiaTheme="majorEastAsia"/>
          <w:color w:val="auto"/>
          <w:u w:val="none"/>
        </w:rPr>
        <w:t>with</w:t>
      </w:r>
      <w:r w:rsidR="00A433B1">
        <w:rPr>
          <w:rStyle w:val="Hyperlink"/>
          <w:rFonts w:eastAsiaTheme="majorEastAsia"/>
          <w:color w:val="auto"/>
          <w:u w:val="none"/>
        </w:rPr>
        <w:t xml:space="preserve"> </w:t>
      </w:r>
      <w:r w:rsidR="00C02D9B">
        <w:rPr>
          <w:rStyle w:val="Hyperlink"/>
          <w:rFonts w:eastAsiaTheme="majorEastAsia"/>
          <w:color w:val="auto"/>
          <w:u w:val="none"/>
        </w:rPr>
        <w:t>self-reported</w:t>
      </w:r>
      <w:r w:rsidR="00A433B1">
        <w:rPr>
          <w:rStyle w:val="Hyperlink"/>
          <w:rFonts w:eastAsiaTheme="majorEastAsia"/>
          <w:color w:val="auto"/>
          <w:u w:val="none"/>
        </w:rPr>
        <w:t xml:space="preserve"> medical </w:t>
      </w:r>
      <w:r w:rsidR="00960E86">
        <w:rPr>
          <w:rStyle w:val="Hyperlink"/>
          <w:rFonts w:eastAsiaTheme="majorEastAsia"/>
          <w:color w:val="auto"/>
          <w:u w:val="none"/>
        </w:rPr>
        <w:t>errors,</w:t>
      </w:r>
      <w:r w:rsidR="00A433B1">
        <w:rPr>
          <w:rStyle w:val="Hyperlink"/>
          <w:rFonts w:eastAsiaTheme="majorEastAsia"/>
          <w:color w:val="auto"/>
          <w:u w:val="none"/>
        </w:rPr>
        <w:t xml:space="preserve"> in a sample of resident and practicing phy</w:t>
      </w:r>
      <w:r w:rsidR="00C02D9B">
        <w:rPr>
          <w:rStyle w:val="Hyperlink"/>
          <w:rFonts w:eastAsiaTheme="majorEastAsia"/>
          <w:color w:val="auto"/>
          <w:u w:val="none"/>
        </w:rPr>
        <w:t xml:space="preserve">sicians. </w:t>
      </w:r>
      <w:r w:rsidRPr="00C8166F">
        <w:rPr>
          <w:rStyle w:val="Hyperlink"/>
          <w:rFonts w:eastAsiaTheme="majorEastAsia"/>
          <w:i/>
          <w:iCs/>
          <w:color w:val="auto"/>
          <w:u w:val="none"/>
        </w:rPr>
        <w:t>Academic Psychiatry 42</w:t>
      </w:r>
      <w:r w:rsidRPr="00C8166F">
        <w:rPr>
          <w:rStyle w:val="Hyperlink"/>
          <w:rFonts w:eastAsiaTheme="majorEastAsia"/>
          <w:color w:val="auto"/>
          <w:u w:val="none"/>
        </w:rPr>
        <w:t>(1), 11-24.</w:t>
      </w:r>
      <w:r>
        <w:rPr>
          <w:rStyle w:val="Hyperlink"/>
          <w:rFonts w:eastAsiaTheme="majorEastAsia"/>
        </w:rPr>
        <w:t xml:space="preserve"> </w:t>
      </w:r>
      <w:hyperlink r:id="rId36" w:history="1">
        <w:r w:rsidRPr="00312BA0">
          <w:rPr>
            <w:rStyle w:val="Hyperlink"/>
            <w:rFonts w:eastAsiaTheme="majorEastAsia"/>
          </w:rPr>
          <w:t>https://doi.10.1007/s40596-017-0849-3</w:t>
        </w:r>
      </w:hyperlink>
    </w:p>
    <w:p w14:paraId="59479992" w14:textId="4FD423F4" w:rsidR="00A21787" w:rsidRDefault="00ED20BB" w:rsidP="00ED20BB">
      <w:pPr>
        <w:spacing w:line="480" w:lineRule="auto"/>
        <w:ind w:left="720" w:hanging="720"/>
        <w:contextualSpacing/>
        <w:rPr>
          <w:rStyle w:val="Hyperlink"/>
          <w:rFonts w:eastAsiaTheme="majorEastAsia"/>
        </w:rPr>
      </w:pPr>
      <w:r w:rsidRPr="00ED20BB">
        <w:rPr>
          <w:rFonts w:ascii="Times New Roman" w:hAnsi="Times New Roman" w:cs="Times New Roman"/>
          <w:color w:val="595959"/>
          <w:sz w:val="24"/>
          <w:szCs w:val="24"/>
        </w:rPr>
        <w:t xml:space="preserve">Vitous, C.A., Dinh, D. Q., Jafri, S. M., Bennett, O. M., MacEachern, M., Suwanabol, P.A. (2021). Optimizing surgeon well-being. </w:t>
      </w:r>
      <w:r w:rsidRPr="00ED20BB">
        <w:rPr>
          <w:rFonts w:ascii="Times New Roman" w:hAnsi="Times New Roman" w:cs="Times New Roman"/>
          <w:i/>
          <w:iCs/>
          <w:color w:val="595959"/>
          <w:sz w:val="24"/>
          <w:szCs w:val="24"/>
        </w:rPr>
        <w:t>Annals of Surgery Open 1</w:t>
      </w:r>
      <w:r w:rsidRPr="00ED20BB">
        <w:rPr>
          <w:rFonts w:ascii="Times New Roman" w:hAnsi="Times New Roman" w:cs="Times New Roman"/>
          <w:color w:val="595959"/>
          <w:sz w:val="24"/>
          <w:szCs w:val="24"/>
        </w:rPr>
        <w:t xml:space="preserve">(2)e029. </w:t>
      </w:r>
      <w:hyperlink r:id="rId37" w:history="1">
        <w:r w:rsidRPr="00ED20BB">
          <w:rPr>
            <w:rStyle w:val="Hyperlink"/>
            <w:rFonts w:ascii="Times New Roman" w:hAnsi="Times New Roman" w:cs="Times New Roman"/>
            <w:sz w:val="24"/>
            <w:szCs w:val="24"/>
          </w:rPr>
          <w:t>https://www.ncbi.nlm.nih.gov/pmc/articles/PMC9872854/</w:t>
        </w:r>
      </w:hyperlink>
    </w:p>
    <w:p w14:paraId="29537192" w14:textId="668C336A" w:rsidR="00A57D73" w:rsidRDefault="00A57D73" w:rsidP="00ED20BB">
      <w:pPr>
        <w:spacing w:line="480" w:lineRule="auto"/>
        <w:ind w:left="720" w:hanging="720"/>
        <w:contextualSpacing/>
        <w:rPr>
          <w:rStyle w:val="Hyperlink"/>
          <w:rFonts w:eastAsiaTheme="majorEastAsia"/>
        </w:rPr>
      </w:pPr>
      <w:r w:rsidRPr="00A57D73">
        <w:rPr>
          <w:rFonts w:ascii="Times New Roman" w:hAnsi="Times New Roman" w:cs="Times New Roman"/>
          <w:color w:val="000000" w:themeColor="text1"/>
          <w:sz w:val="24"/>
          <w:szCs w:val="24"/>
        </w:rPr>
        <w:t xml:space="preserve">Walker, H. R., Evans, E., Nirula, R., Hyngstrom, J, Masten, C., Nelson, E., Pickron, B., Zurbuchen, E., </w:t>
      </w:r>
      <w:r w:rsidRPr="00A57D73">
        <w:rPr>
          <w:rFonts w:ascii="Times New Roman" w:hAnsi="Times New Roman" w:cs="Times New Roman"/>
          <w:color w:val="595959"/>
          <w:sz w:val="24"/>
          <w:szCs w:val="24"/>
        </w:rPr>
        <w:t xml:space="preserve">&amp; </w:t>
      </w:r>
      <w:r w:rsidRPr="00A57D73">
        <w:rPr>
          <w:rFonts w:ascii="Times New Roman" w:hAnsi="Times New Roman" w:cs="Times New Roman"/>
          <w:color w:val="000000" w:themeColor="text1"/>
          <w:sz w:val="24"/>
          <w:szCs w:val="24"/>
        </w:rPr>
        <w:t xml:space="preserve">Morrow, E. H. (2022). “I need to have a fulfilling job”: A qualitative study of surgeon well-being and professional fulfillment. </w:t>
      </w:r>
      <w:r w:rsidRPr="00A57D73">
        <w:rPr>
          <w:rFonts w:ascii="Times New Roman" w:hAnsi="Times New Roman" w:cs="Times New Roman"/>
          <w:i/>
          <w:iCs/>
          <w:color w:val="000000" w:themeColor="text1"/>
          <w:sz w:val="24"/>
          <w:szCs w:val="24"/>
        </w:rPr>
        <w:t>The American Journal of Surgery</w:t>
      </w:r>
      <w:r w:rsidRPr="00A57D73">
        <w:rPr>
          <w:rFonts w:ascii="Times New Roman" w:hAnsi="Times New Roman" w:cs="Times New Roman"/>
          <w:color w:val="000000" w:themeColor="text1"/>
          <w:sz w:val="24"/>
          <w:szCs w:val="24"/>
        </w:rPr>
        <w:t>,</w:t>
      </w:r>
      <w:r w:rsidRPr="00A57D73">
        <w:rPr>
          <w:rFonts w:ascii="Times New Roman" w:hAnsi="Times New Roman" w:cs="Times New Roman"/>
          <w:i/>
          <w:iCs/>
          <w:color w:val="000000" w:themeColor="text1"/>
          <w:sz w:val="24"/>
          <w:szCs w:val="24"/>
        </w:rPr>
        <w:t xml:space="preserve"> 223</w:t>
      </w:r>
      <w:r w:rsidRPr="00A57D73">
        <w:rPr>
          <w:rFonts w:ascii="Times New Roman" w:hAnsi="Times New Roman" w:cs="Times New Roman"/>
          <w:color w:val="000000" w:themeColor="text1"/>
          <w:sz w:val="24"/>
          <w:szCs w:val="24"/>
        </w:rPr>
        <w:t xml:space="preserve">(1), 6–11. </w:t>
      </w:r>
      <w:hyperlink r:id="rId38" w:history="1">
        <w:r w:rsidRPr="00A57D73">
          <w:rPr>
            <w:rStyle w:val="Hyperlink"/>
            <w:rFonts w:ascii="Times New Roman" w:hAnsi="Times New Roman" w:cs="Times New Roman"/>
            <w:sz w:val="24"/>
            <w:szCs w:val="24"/>
          </w:rPr>
          <w:t>https://doi.org/10.1016/j.amjsurg.2021.07.029</w:t>
        </w:r>
      </w:hyperlink>
    </w:p>
    <w:p w14:paraId="120CB3A7" w14:textId="77777777" w:rsidR="00FC40F1" w:rsidRDefault="0087493E" w:rsidP="00FC40F1">
      <w:pPr>
        <w:pStyle w:val="APA"/>
        <w:ind w:left="720" w:hanging="720"/>
        <w:rPr>
          <w:rStyle w:val="Hyperlink"/>
          <w:rFonts w:eastAsiaTheme="majorEastAsia"/>
        </w:rPr>
      </w:pPr>
      <w:r>
        <w:t>Wu, A</w:t>
      </w:r>
      <w:r w:rsidRPr="005B5658">
        <w:t>.</w:t>
      </w:r>
      <w:r w:rsidRPr="0087493E">
        <w:rPr>
          <w:rStyle w:val="Hyperlink"/>
          <w:rFonts w:eastAsiaTheme="majorEastAsia"/>
          <w:color w:val="auto"/>
          <w:u w:val="none"/>
        </w:rPr>
        <w:t xml:space="preserve">W. (2000). Medical error: The second victim: The doctor who makes mistakes needs help too. </w:t>
      </w:r>
      <w:r w:rsidRPr="0087493E">
        <w:rPr>
          <w:rStyle w:val="Hyperlink"/>
          <w:rFonts w:eastAsiaTheme="majorEastAsia"/>
          <w:i/>
          <w:iCs/>
          <w:color w:val="auto"/>
          <w:u w:val="none"/>
        </w:rPr>
        <w:t>British Medical Journal 320</w:t>
      </w:r>
      <w:r w:rsidRPr="0087493E">
        <w:rPr>
          <w:rStyle w:val="Hyperlink"/>
          <w:rFonts w:eastAsiaTheme="majorEastAsia"/>
          <w:color w:val="auto"/>
          <w:u w:val="none"/>
        </w:rPr>
        <w:t xml:space="preserve"> (7238), 726-727.</w:t>
      </w:r>
      <w:r w:rsidR="00FC40F1">
        <w:rPr>
          <w:rStyle w:val="Hyperlink"/>
          <w:rFonts w:eastAsiaTheme="majorEastAsia"/>
          <w:color w:val="auto"/>
          <w:u w:val="none"/>
        </w:rPr>
        <w:t xml:space="preserve"> </w:t>
      </w:r>
      <w:hyperlink r:id="rId39" w:history="1">
        <w:r w:rsidR="00FC40F1" w:rsidRPr="009D2EA3">
          <w:rPr>
            <w:rStyle w:val="Hyperlink"/>
            <w:rFonts w:eastAsiaTheme="majorEastAsia"/>
          </w:rPr>
          <w:t>https://doi.org10.1136/bmj.320.7238.726</w:t>
        </w:r>
      </w:hyperlink>
    </w:p>
    <w:p w14:paraId="70CE5E5C" w14:textId="0C54C75E" w:rsidR="008952AC" w:rsidRPr="0087493E" w:rsidRDefault="008952AC" w:rsidP="00C8166F">
      <w:pPr>
        <w:pStyle w:val="APA"/>
        <w:ind w:left="720" w:hanging="720"/>
        <w:rPr>
          <w:rStyle w:val="Hyperlink"/>
          <w:rFonts w:eastAsiaTheme="majorEastAsia"/>
          <w:color w:val="auto"/>
          <w:u w:val="none"/>
        </w:rPr>
      </w:pPr>
    </w:p>
    <w:p w14:paraId="62605366" w14:textId="77777777" w:rsidR="00C8166F" w:rsidRPr="0087493E" w:rsidRDefault="00C8166F" w:rsidP="00906D52">
      <w:pPr>
        <w:pStyle w:val="APA"/>
        <w:ind w:left="720" w:hanging="720"/>
        <w:rPr>
          <w:rStyle w:val="Hyperlink"/>
          <w:rFonts w:eastAsiaTheme="majorEastAsia"/>
        </w:rPr>
      </w:pPr>
    </w:p>
    <w:p w14:paraId="66B5C513" w14:textId="77777777" w:rsidR="00906D52" w:rsidRDefault="00906D52" w:rsidP="00615AA2">
      <w:pPr>
        <w:pStyle w:val="APA"/>
        <w:ind w:left="720" w:hanging="720"/>
        <w:rPr>
          <w:rStyle w:val="Hyperlink"/>
          <w:rFonts w:eastAsiaTheme="majorEastAsia"/>
        </w:rPr>
      </w:pPr>
    </w:p>
    <w:p w14:paraId="1FBD4A87" w14:textId="77777777" w:rsidR="00615AA2" w:rsidRDefault="00615AA2" w:rsidP="00401656">
      <w:pPr>
        <w:pStyle w:val="APA"/>
        <w:ind w:left="720" w:hanging="720"/>
        <w:rPr>
          <w:rStyle w:val="Hyperlink"/>
          <w:bCs/>
        </w:rPr>
      </w:pPr>
    </w:p>
    <w:p w14:paraId="60C89A83" w14:textId="77777777" w:rsidR="00401656" w:rsidRPr="000772A4" w:rsidRDefault="00401656" w:rsidP="00CF64DF">
      <w:pPr>
        <w:spacing w:before="100" w:beforeAutospacing="1" w:after="100" w:afterAutospacing="1" w:line="480" w:lineRule="auto"/>
        <w:ind w:left="720" w:hanging="720"/>
        <w:rPr>
          <w:rFonts w:ascii="Times New Roman" w:eastAsia="Times New Roman" w:hAnsi="Times New Roman" w:cs="Times New Roman"/>
          <w:sz w:val="24"/>
          <w:szCs w:val="24"/>
        </w:rPr>
      </w:pPr>
    </w:p>
    <w:sectPr w:rsidR="00401656" w:rsidRPr="000772A4" w:rsidSect="00F958D3">
      <w:pgSz w:w="12240" w:h="15840"/>
      <w:pgMar w:top="720" w:right="108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61D"/>
    <w:multiLevelType w:val="hybridMultilevel"/>
    <w:tmpl w:val="3E5A6976"/>
    <w:lvl w:ilvl="0" w:tplc="4BFA1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924B1"/>
    <w:multiLevelType w:val="hybridMultilevel"/>
    <w:tmpl w:val="33883FA0"/>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 w15:restartNumberingAfterBreak="0">
    <w:nsid w:val="14552953"/>
    <w:multiLevelType w:val="hybridMultilevel"/>
    <w:tmpl w:val="F21CB74E"/>
    <w:lvl w:ilvl="0" w:tplc="162847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E60B8"/>
    <w:multiLevelType w:val="hybridMultilevel"/>
    <w:tmpl w:val="76E0EBDA"/>
    <w:lvl w:ilvl="0" w:tplc="A22046D8">
      <w:start w:val="1"/>
      <w:numFmt w:val="bullet"/>
      <w:lvlText w:val=""/>
      <w:lvlJc w:val="left"/>
      <w:pPr>
        <w:tabs>
          <w:tab w:val="num" w:pos="720"/>
        </w:tabs>
        <w:ind w:left="720" w:hanging="360"/>
      </w:pPr>
      <w:rPr>
        <w:rFonts w:ascii="Wingdings" w:hAnsi="Wingdings" w:hint="default"/>
      </w:rPr>
    </w:lvl>
    <w:lvl w:ilvl="1" w:tplc="359298DE" w:tentative="1">
      <w:start w:val="1"/>
      <w:numFmt w:val="bullet"/>
      <w:lvlText w:val=""/>
      <w:lvlJc w:val="left"/>
      <w:pPr>
        <w:tabs>
          <w:tab w:val="num" w:pos="1440"/>
        </w:tabs>
        <w:ind w:left="1440" w:hanging="360"/>
      </w:pPr>
      <w:rPr>
        <w:rFonts w:ascii="Wingdings" w:hAnsi="Wingdings" w:hint="default"/>
      </w:rPr>
    </w:lvl>
    <w:lvl w:ilvl="2" w:tplc="FE42C344" w:tentative="1">
      <w:start w:val="1"/>
      <w:numFmt w:val="bullet"/>
      <w:lvlText w:val=""/>
      <w:lvlJc w:val="left"/>
      <w:pPr>
        <w:tabs>
          <w:tab w:val="num" w:pos="2160"/>
        </w:tabs>
        <w:ind w:left="2160" w:hanging="360"/>
      </w:pPr>
      <w:rPr>
        <w:rFonts w:ascii="Wingdings" w:hAnsi="Wingdings" w:hint="default"/>
      </w:rPr>
    </w:lvl>
    <w:lvl w:ilvl="3" w:tplc="B1C8B6A4" w:tentative="1">
      <w:start w:val="1"/>
      <w:numFmt w:val="bullet"/>
      <w:lvlText w:val=""/>
      <w:lvlJc w:val="left"/>
      <w:pPr>
        <w:tabs>
          <w:tab w:val="num" w:pos="2880"/>
        </w:tabs>
        <w:ind w:left="2880" w:hanging="360"/>
      </w:pPr>
      <w:rPr>
        <w:rFonts w:ascii="Wingdings" w:hAnsi="Wingdings" w:hint="default"/>
      </w:rPr>
    </w:lvl>
    <w:lvl w:ilvl="4" w:tplc="52248CC8" w:tentative="1">
      <w:start w:val="1"/>
      <w:numFmt w:val="bullet"/>
      <w:lvlText w:val=""/>
      <w:lvlJc w:val="left"/>
      <w:pPr>
        <w:tabs>
          <w:tab w:val="num" w:pos="3600"/>
        </w:tabs>
        <w:ind w:left="3600" w:hanging="360"/>
      </w:pPr>
      <w:rPr>
        <w:rFonts w:ascii="Wingdings" w:hAnsi="Wingdings" w:hint="default"/>
      </w:rPr>
    </w:lvl>
    <w:lvl w:ilvl="5" w:tplc="4AB8F606" w:tentative="1">
      <w:start w:val="1"/>
      <w:numFmt w:val="bullet"/>
      <w:lvlText w:val=""/>
      <w:lvlJc w:val="left"/>
      <w:pPr>
        <w:tabs>
          <w:tab w:val="num" w:pos="4320"/>
        </w:tabs>
        <w:ind w:left="4320" w:hanging="360"/>
      </w:pPr>
      <w:rPr>
        <w:rFonts w:ascii="Wingdings" w:hAnsi="Wingdings" w:hint="default"/>
      </w:rPr>
    </w:lvl>
    <w:lvl w:ilvl="6" w:tplc="D65AD87C" w:tentative="1">
      <w:start w:val="1"/>
      <w:numFmt w:val="bullet"/>
      <w:lvlText w:val=""/>
      <w:lvlJc w:val="left"/>
      <w:pPr>
        <w:tabs>
          <w:tab w:val="num" w:pos="5040"/>
        </w:tabs>
        <w:ind w:left="5040" w:hanging="360"/>
      </w:pPr>
      <w:rPr>
        <w:rFonts w:ascii="Wingdings" w:hAnsi="Wingdings" w:hint="default"/>
      </w:rPr>
    </w:lvl>
    <w:lvl w:ilvl="7" w:tplc="9D58DC54" w:tentative="1">
      <w:start w:val="1"/>
      <w:numFmt w:val="bullet"/>
      <w:lvlText w:val=""/>
      <w:lvlJc w:val="left"/>
      <w:pPr>
        <w:tabs>
          <w:tab w:val="num" w:pos="5760"/>
        </w:tabs>
        <w:ind w:left="5760" w:hanging="360"/>
      </w:pPr>
      <w:rPr>
        <w:rFonts w:ascii="Wingdings" w:hAnsi="Wingdings" w:hint="default"/>
      </w:rPr>
    </w:lvl>
    <w:lvl w:ilvl="8" w:tplc="1B8894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C3565"/>
    <w:multiLevelType w:val="hybridMultilevel"/>
    <w:tmpl w:val="1F6A9D60"/>
    <w:lvl w:ilvl="0" w:tplc="8DE2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1F5103"/>
    <w:multiLevelType w:val="hybridMultilevel"/>
    <w:tmpl w:val="5D143A82"/>
    <w:lvl w:ilvl="0" w:tplc="FBFA6BE0">
      <w:start w:val="1"/>
      <w:numFmt w:val="bullet"/>
      <w:lvlText w:val=""/>
      <w:lvlJc w:val="left"/>
      <w:pPr>
        <w:tabs>
          <w:tab w:val="num" w:pos="720"/>
        </w:tabs>
        <w:ind w:left="720" w:hanging="360"/>
      </w:pPr>
      <w:rPr>
        <w:rFonts w:ascii="Wingdings" w:hAnsi="Wingdings" w:hint="default"/>
      </w:rPr>
    </w:lvl>
    <w:lvl w:ilvl="1" w:tplc="F79832F6" w:tentative="1">
      <w:start w:val="1"/>
      <w:numFmt w:val="bullet"/>
      <w:lvlText w:val=""/>
      <w:lvlJc w:val="left"/>
      <w:pPr>
        <w:tabs>
          <w:tab w:val="num" w:pos="1440"/>
        </w:tabs>
        <w:ind w:left="1440" w:hanging="360"/>
      </w:pPr>
      <w:rPr>
        <w:rFonts w:ascii="Wingdings" w:hAnsi="Wingdings" w:hint="default"/>
      </w:rPr>
    </w:lvl>
    <w:lvl w:ilvl="2" w:tplc="57E8B960" w:tentative="1">
      <w:start w:val="1"/>
      <w:numFmt w:val="bullet"/>
      <w:lvlText w:val=""/>
      <w:lvlJc w:val="left"/>
      <w:pPr>
        <w:tabs>
          <w:tab w:val="num" w:pos="2160"/>
        </w:tabs>
        <w:ind w:left="2160" w:hanging="360"/>
      </w:pPr>
      <w:rPr>
        <w:rFonts w:ascii="Wingdings" w:hAnsi="Wingdings" w:hint="default"/>
      </w:rPr>
    </w:lvl>
    <w:lvl w:ilvl="3" w:tplc="1D605EAE" w:tentative="1">
      <w:start w:val="1"/>
      <w:numFmt w:val="bullet"/>
      <w:lvlText w:val=""/>
      <w:lvlJc w:val="left"/>
      <w:pPr>
        <w:tabs>
          <w:tab w:val="num" w:pos="2880"/>
        </w:tabs>
        <w:ind w:left="2880" w:hanging="360"/>
      </w:pPr>
      <w:rPr>
        <w:rFonts w:ascii="Wingdings" w:hAnsi="Wingdings" w:hint="default"/>
      </w:rPr>
    </w:lvl>
    <w:lvl w:ilvl="4" w:tplc="A58A1168" w:tentative="1">
      <w:start w:val="1"/>
      <w:numFmt w:val="bullet"/>
      <w:lvlText w:val=""/>
      <w:lvlJc w:val="left"/>
      <w:pPr>
        <w:tabs>
          <w:tab w:val="num" w:pos="3600"/>
        </w:tabs>
        <w:ind w:left="3600" w:hanging="360"/>
      </w:pPr>
      <w:rPr>
        <w:rFonts w:ascii="Wingdings" w:hAnsi="Wingdings" w:hint="default"/>
      </w:rPr>
    </w:lvl>
    <w:lvl w:ilvl="5" w:tplc="28E2EC24" w:tentative="1">
      <w:start w:val="1"/>
      <w:numFmt w:val="bullet"/>
      <w:lvlText w:val=""/>
      <w:lvlJc w:val="left"/>
      <w:pPr>
        <w:tabs>
          <w:tab w:val="num" w:pos="4320"/>
        </w:tabs>
        <w:ind w:left="4320" w:hanging="360"/>
      </w:pPr>
      <w:rPr>
        <w:rFonts w:ascii="Wingdings" w:hAnsi="Wingdings" w:hint="default"/>
      </w:rPr>
    </w:lvl>
    <w:lvl w:ilvl="6" w:tplc="CE08ACB6" w:tentative="1">
      <w:start w:val="1"/>
      <w:numFmt w:val="bullet"/>
      <w:lvlText w:val=""/>
      <w:lvlJc w:val="left"/>
      <w:pPr>
        <w:tabs>
          <w:tab w:val="num" w:pos="5040"/>
        </w:tabs>
        <w:ind w:left="5040" w:hanging="360"/>
      </w:pPr>
      <w:rPr>
        <w:rFonts w:ascii="Wingdings" w:hAnsi="Wingdings" w:hint="default"/>
      </w:rPr>
    </w:lvl>
    <w:lvl w:ilvl="7" w:tplc="71508A00" w:tentative="1">
      <w:start w:val="1"/>
      <w:numFmt w:val="bullet"/>
      <w:lvlText w:val=""/>
      <w:lvlJc w:val="left"/>
      <w:pPr>
        <w:tabs>
          <w:tab w:val="num" w:pos="5760"/>
        </w:tabs>
        <w:ind w:left="5760" w:hanging="360"/>
      </w:pPr>
      <w:rPr>
        <w:rFonts w:ascii="Wingdings" w:hAnsi="Wingdings" w:hint="default"/>
      </w:rPr>
    </w:lvl>
    <w:lvl w:ilvl="8" w:tplc="B04616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33415"/>
    <w:multiLevelType w:val="hybridMultilevel"/>
    <w:tmpl w:val="6C5227A8"/>
    <w:lvl w:ilvl="0" w:tplc="D9A89AAA">
      <w:start w:val="1"/>
      <w:numFmt w:val="bullet"/>
      <w:lvlText w:val=""/>
      <w:lvlJc w:val="left"/>
      <w:pPr>
        <w:tabs>
          <w:tab w:val="num" w:pos="720"/>
        </w:tabs>
        <w:ind w:left="720" w:hanging="360"/>
      </w:pPr>
      <w:rPr>
        <w:rFonts w:ascii="Wingdings" w:hAnsi="Wingdings" w:hint="default"/>
      </w:rPr>
    </w:lvl>
    <w:lvl w:ilvl="1" w:tplc="1AA8E016" w:tentative="1">
      <w:start w:val="1"/>
      <w:numFmt w:val="bullet"/>
      <w:lvlText w:val=""/>
      <w:lvlJc w:val="left"/>
      <w:pPr>
        <w:tabs>
          <w:tab w:val="num" w:pos="1440"/>
        </w:tabs>
        <w:ind w:left="1440" w:hanging="360"/>
      </w:pPr>
      <w:rPr>
        <w:rFonts w:ascii="Wingdings" w:hAnsi="Wingdings" w:hint="default"/>
      </w:rPr>
    </w:lvl>
    <w:lvl w:ilvl="2" w:tplc="30DE1A56" w:tentative="1">
      <w:start w:val="1"/>
      <w:numFmt w:val="bullet"/>
      <w:lvlText w:val=""/>
      <w:lvlJc w:val="left"/>
      <w:pPr>
        <w:tabs>
          <w:tab w:val="num" w:pos="2160"/>
        </w:tabs>
        <w:ind w:left="2160" w:hanging="360"/>
      </w:pPr>
      <w:rPr>
        <w:rFonts w:ascii="Wingdings" w:hAnsi="Wingdings" w:hint="default"/>
      </w:rPr>
    </w:lvl>
    <w:lvl w:ilvl="3" w:tplc="DE5608DE" w:tentative="1">
      <w:start w:val="1"/>
      <w:numFmt w:val="bullet"/>
      <w:lvlText w:val=""/>
      <w:lvlJc w:val="left"/>
      <w:pPr>
        <w:tabs>
          <w:tab w:val="num" w:pos="2880"/>
        </w:tabs>
        <w:ind w:left="2880" w:hanging="360"/>
      </w:pPr>
      <w:rPr>
        <w:rFonts w:ascii="Wingdings" w:hAnsi="Wingdings" w:hint="default"/>
      </w:rPr>
    </w:lvl>
    <w:lvl w:ilvl="4" w:tplc="8FAC504C" w:tentative="1">
      <w:start w:val="1"/>
      <w:numFmt w:val="bullet"/>
      <w:lvlText w:val=""/>
      <w:lvlJc w:val="left"/>
      <w:pPr>
        <w:tabs>
          <w:tab w:val="num" w:pos="3600"/>
        </w:tabs>
        <w:ind w:left="3600" w:hanging="360"/>
      </w:pPr>
      <w:rPr>
        <w:rFonts w:ascii="Wingdings" w:hAnsi="Wingdings" w:hint="default"/>
      </w:rPr>
    </w:lvl>
    <w:lvl w:ilvl="5" w:tplc="CD523964" w:tentative="1">
      <w:start w:val="1"/>
      <w:numFmt w:val="bullet"/>
      <w:lvlText w:val=""/>
      <w:lvlJc w:val="left"/>
      <w:pPr>
        <w:tabs>
          <w:tab w:val="num" w:pos="4320"/>
        </w:tabs>
        <w:ind w:left="4320" w:hanging="360"/>
      </w:pPr>
      <w:rPr>
        <w:rFonts w:ascii="Wingdings" w:hAnsi="Wingdings" w:hint="default"/>
      </w:rPr>
    </w:lvl>
    <w:lvl w:ilvl="6" w:tplc="0062EE12" w:tentative="1">
      <w:start w:val="1"/>
      <w:numFmt w:val="bullet"/>
      <w:lvlText w:val=""/>
      <w:lvlJc w:val="left"/>
      <w:pPr>
        <w:tabs>
          <w:tab w:val="num" w:pos="5040"/>
        </w:tabs>
        <w:ind w:left="5040" w:hanging="360"/>
      </w:pPr>
      <w:rPr>
        <w:rFonts w:ascii="Wingdings" w:hAnsi="Wingdings" w:hint="default"/>
      </w:rPr>
    </w:lvl>
    <w:lvl w:ilvl="7" w:tplc="D90AD31A" w:tentative="1">
      <w:start w:val="1"/>
      <w:numFmt w:val="bullet"/>
      <w:lvlText w:val=""/>
      <w:lvlJc w:val="left"/>
      <w:pPr>
        <w:tabs>
          <w:tab w:val="num" w:pos="5760"/>
        </w:tabs>
        <w:ind w:left="5760" w:hanging="360"/>
      </w:pPr>
      <w:rPr>
        <w:rFonts w:ascii="Wingdings" w:hAnsi="Wingdings" w:hint="default"/>
      </w:rPr>
    </w:lvl>
    <w:lvl w:ilvl="8" w:tplc="3F08A5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D24820"/>
    <w:multiLevelType w:val="hybridMultilevel"/>
    <w:tmpl w:val="6D421DCC"/>
    <w:lvl w:ilvl="0" w:tplc="FFDE9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D43F27"/>
    <w:multiLevelType w:val="hybridMultilevel"/>
    <w:tmpl w:val="1A92DD60"/>
    <w:lvl w:ilvl="0" w:tplc="70D05258">
      <w:start w:val="1"/>
      <w:numFmt w:val="bullet"/>
      <w:lvlText w:val=""/>
      <w:lvlJc w:val="left"/>
      <w:pPr>
        <w:tabs>
          <w:tab w:val="num" w:pos="360"/>
        </w:tabs>
        <w:ind w:left="360" w:hanging="360"/>
      </w:pPr>
      <w:rPr>
        <w:rFonts w:ascii="Wingdings" w:hAnsi="Wingdings" w:hint="default"/>
      </w:rPr>
    </w:lvl>
    <w:lvl w:ilvl="1" w:tplc="7F86BF1E" w:tentative="1">
      <w:start w:val="1"/>
      <w:numFmt w:val="bullet"/>
      <w:lvlText w:val=""/>
      <w:lvlJc w:val="left"/>
      <w:pPr>
        <w:tabs>
          <w:tab w:val="num" w:pos="1080"/>
        </w:tabs>
        <w:ind w:left="1080" w:hanging="360"/>
      </w:pPr>
      <w:rPr>
        <w:rFonts w:ascii="Wingdings" w:hAnsi="Wingdings" w:hint="default"/>
      </w:rPr>
    </w:lvl>
    <w:lvl w:ilvl="2" w:tplc="5448A470" w:tentative="1">
      <w:start w:val="1"/>
      <w:numFmt w:val="bullet"/>
      <w:lvlText w:val=""/>
      <w:lvlJc w:val="left"/>
      <w:pPr>
        <w:tabs>
          <w:tab w:val="num" w:pos="1800"/>
        </w:tabs>
        <w:ind w:left="1800" w:hanging="360"/>
      </w:pPr>
      <w:rPr>
        <w:rFonts w:ascii="Wingdings" w:hAnsi="Wingdings" w:hint="default"/>
      </w:rPr>
    </w:lvl>
    <w:lvl w:ilvl="3" w:tplc="F1748D76" w:tentative="1">
      <w:start w:val="1"/>
      <w:numFmt w:val="bullet"/>
      <w:lvlText w:val=""/>
      <w:lvlJc w:val="left"/>
      <w:pPr>
        <w:tabs>
          <w:tab w:val="num" w:pos="2520"/>
        </w:tabs>
        <w:ind w:left="2520" w:hanging="360"/>
      </w:pPr>
      <w:rPr>
        <w:rFonts w:ascii="Wingdings" w:hAnsi="Wingdings" w:hint="default"/>
      </w:rPr>
    </w:lvl>
    <w:lvl w:ilvl="4" w:tplc="7E7CC41E" w:tentative="1">
      <w:start w:val="1"/>
      <w:numFmt w:val="bullet"/>
      <w:lvlText w:val=""/>
      <w:lvlJc w:val="left"/>
      <w:pPr>
        <w:tabs>
          <w:tab w:val="num" w:pos="3240"/>
        </w:tabs>
        <w:ind w:left="3240" w:hanging="360"/>
      </w:pPr>
      <w:rPr>
        <w:rFonts w:ascii="Wingdings" w:hAnsi="Wingdings" w:hint="default"/>
      </w:rPr>
    </w:lvl>
    <w:lvl w:ilvl="5" w:tplc="374241E0" w:tentative="1">
      <w:start w:val="1"/>
      <w:numFmt w:val="bullet"/>
      <w:lvlText w:val=""/>
      <w:lvlJc w:val="left"/>
      <w:pPr>
        <w:tabs>
          <w:tab w:val="num" w:pos="3960"/>
        </w:tabs>
        <w:ind w:left="3960" w:hanging="360"/>
      </w:pPr>
      <w:rPr>
        <w:rFonts w:ascii="Wingdings" w:hAnsi="Wingdings" w:hint="default"/>
      </w:rPr>
    </w:lvl>
    <w:lvl w:ilvl="6" w:tplc="8F7024C0" w:tentative="1">
      <w:start w:val="1"/>
      <w:numFmt w:val="bullet"/>
      <w:lvlText w:val=""/>
      <w:lvlJc w:val="left"/>
      <w:pPr>
        <w:tabs>
          <w:tab w:val="num" w:pos="4680"/>
        </w:tabs>
        <w:ind w:left="4680" w:hanging="360"/>
      </w:pPr>
      <w:rPr>
        <w:rFonts w:ascii="Wingdings" w:hAnsi="Wingdings" w:hint="default"/>
      </w:rPr>
    </w:lvl>
    <w:lvl w:ilvl="7" w:tplc="2098AC2E" w:tentative="1">
      <w:start w:val="1"/>
      <w:numFmt w:val="bullet"/>
      <w:lvlText w:val=""/>
      <w:lvlJc w:val="left"/>
      <w:pPr>
        <w:tabs>
          <w:tab w:val="num" w:pos="5400"/>
        </w:tabs>
        <w:ind w:left="5400" w:hanging="360"/>
      </w:pPr>
      <w:rPr>
        <w:rFonts w:ascii="Wingdings" w:hAnsi="Wingdings" w:hint="default"/>
      </w:rPr>
    </w:lvl>
    <w:lvl w:ilvl="8" w:tplc="F4723F2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8D6B7F"/>
    <w:multiLevelType w:val="hybridMultilevel"/>
    <w:tmpl w:val="B030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875580">
    <w:abstractNumId w:val="4"/>
  </w:num>
  <w:num w:numId="2" w16cid:durableId="500125482">
    <w:abstractNumId w:val="7"/>
  </w:num>
  <w:num w:numId="3" w16cid:durableId="856309328">
    <w:abstractNumId w:val="0"/>
  </w:num>
  <w:num w:numId="4" w16cid:durableId="2098012738">
    <w:abstractNumId w:val="2"/>
  </w:num>
  <w:num w:numId="5" w16cid:durableId="422990979">
    <w:abstractNumId w:val="1"/>
  </w:num>
  <w:num w:numId="6" w16cid:durableId="2070883015">
    <w:abstractNumId w:val="8"/>
  </w:num>
  <w:num w:numId="7" w16cid:durableId="213347180">
    <w:abstractNumId w:val="6"/>
  </w:num>
  <w:num w:numId="8" w16cid:durableId="1727950649">
    <w:abstractNumId w:val="3"/>
  </w:num>
  <w:num w:numId="9" w16cid:durableId="1223444895">
    <w:abstractNumId w:val="5"/>
  </w:num>
  <w:num w:numId="10" w16cid:durableId="246303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1"/>
    <w:rsid w:val="0000184E"/>
    <w:rsid w:val="000254BF"/>
    <w:rsid w:val="00025623"/>
    <w:rsid w:val="00032975"/>
    <w:rsid w:val="00041A2D"/>
    <w:rsid w:val="0005422E"/>
    <w:rsid w:val="00054835"/>
    <w:rsid w:val="00064AFE"/>
    <w:rsid w:val="00070086"/>
    <w:rsid w:val="000749FB"/>
    <w:rsid w:val="000772A4"/>
    <w:rsid w:val="00080688"/>
    <w:rsid w:val="00094A5C"/>
    <w:rsid w:val="000A3F47"/>
    <w:rsid w:val="000A7054"/>
    <w:rsid w:val="000B382B"/>
    <w:rsid w:val="000C0A53"/>
    <w:rsid w:val="000C38F4"/>
    <w:rsid w:val="000C4929"/>
    <w:rsid w:val="000D46CE"/>
    <w:rsid w:val="000E3AAA"/>
    <w:rsid w:val="000E662B"/>
    <w:rsid w:val="000F41D0"/>
    <w:rsid w:val="00100AA8"/>
    <w:rsid w:val="00102A83"/>
    <w:rsid w:val="001061CE"/>
    <w:rsid w:val="001072F9"/>
    <w:rsid w:val="001229D4"/>
    <w:rsid w:val="00123A3B"/>
    <w:rsid w:val="00133EFE"/>
    <w:rsid w:val="001346E1"/>
    <w:rsid w:val="001378CC"/>
    <w:rsid w:val="00140745"/>
    <w:rsid w:val="00146647"/>
    <w:rsid w:val="00147D35"/>
    <w:rsid w:val="00150BE3"/>
    <w:rsid w:val="00164836"/>
    <w:rsid w:val="00181588"/>
    <w:rsid w:val="00190076"/>
    <w:rsid w:val="00192185"/>
    <w:rsid w:val="001A306F"/>
    <w:rsid w:val="001B1120"/>
    <w:rsid w:val="001C1E7C"/>
    <w:rsid w:val="001C600F"/>
    <w:rsid w:val="001D5EC4"/>
    <w:rsid w:val="001E6B05"/>
    <w:rsid w:val="001F30E1"/>
    <w:rsid w:val="001F478C"/>
    <w:rsid w:val="0020308A"/>
    <w:rsid w:val="00222CF5"/>
    <w:rsid w:val="0022326C"/>
    <w:rsid w:val="00230694"/>
    <w:rsid w:val="00236CAD"/>
    <w:rsid w:val="00251A72"/>
    <w:rsid w:val="00253A6E"/>
    <w:rsid w:val="00257491"/>
    <w:rsid w:val="00262E09"/>
    <w:rsid w:val="00265983"/>
    <w:rsid w:val="00265F1E"/>
    <w:rsid w:val="00274159"/>
    <w:rsid w:val="002758FD"/>
    <w:rsid w:val="00293D74"/>
    <w:rsid w:val="00297CEA"/>
    <w:rsid w:val="002A2402"/>
    <w:rsid w:val="002B6636"/>
    <w:rsid w:val="002C0E4C"/>
    <w:rsid w:val="002C3414"/>
    <w:rsid w:val="002C3DAA"/>
    <w:rsid w:val="002D2696"/>
    <w:rsid w:val="002D426C"/>
    <w:rsid w:val="002D75A6"/>
    <w:rsid w:val="002E1BF0"/>
    <w:rsid w:val="002E43E6"/>
    <w:rsid w:val="002E4AE0"/>
    <w:rsid w:val="00303A1F"/>
    <w:rsid w:val="00310326"/>
    <w:rsid w:val="00312986"/>
    <w:rsid w:val="00312C71"/>
    <w:rsid w:val="003209A1"/>
    <w:rsid w:val="0032258F"/>
    <w:rsid w:val="00322CF1"/>
    <w:rsid w:val="003240CD"/>
    <w:rsid w:val="00333F8A"/>
    <w:rsid w:val="003421DE"/>
    <w:rsid w:val="00346EA5"/>
    <w:rsid w:val="00347F47"/>
    <w:rsid w:val="00351ACC"/>
    <w:rsid w:val="00364CD6"/>
    <w:rsid w:val="0038344A"/>
    <w:rsid w:val="00394B3D"/>
    <w:rsid w:val="00396488"/>
    <w:rsid w:val="00396CF0"/>
    <w:rsid w:val="003A08E2"/>
    <w:rsid w:val="003B0663"/>
    <w:rsid w:val="003B65E8"/>
    <w:rsid w:val="003C0A33"/>
    <w:rsid w:val="003C1D58"/>
    <w:rsid w:val="003C5630"/>
    <w:rsid w:val="003C7097"/>
    <w:rsid w:val="003E4DBE"/>
    <w:rsid w:val="003E4FAC"/>
    <w:rsid w:val="003F0525"/>
    <w:rsid w:val="003F66E7"/>
    <w:rsid w:val="003F7E38"/>
    <w:rsid w:val="00401656"/>
    <w:rsid w:val="004019DC"/>
    <w:rsid w:val="004055E8"/>
    <w:rsid w:val="00406E0D"/>
    <w:rsid w:val="00412A15"/>
    <w:rsid w:val="00416D1C"/>
    <w:rsid w:val="00420DA1"/>
    <w:rsid w:val="00433166"/>
    <w:rsid w:val="0043376B"/>
    <w:rsid w:val="00446E3D"/>
    <w:rsid w:val="004506E7"/>
    <w:rsid w:val="004603D1"/>
    <w:rsid w:val="0047271C"/>
    <w:rsid w:val="00475065"/>
    <w:rsid w:val="004761B5"/>
    <w:rsid w:val="00477F1B"/>
    <w:rsid w:val="0048135B"/>
    <w:rsid w:val="004832B9"/>
    <w:rsid w:val="00494E13"/>
    <w:rsid w:val="00497A72"/>
    <w:rsid w:val="004A371A"/>
    <w:rsid w:val="004E0F86"/>
    <w:rsid w:val="004E4E5D"/>
    <w:rsid w:val="004F016F"/>
    <w:rsid w:val="00500E1F"/>
    <w:rsid w:val="00501610"/>
    <w:rsid w:val="005036A8"/>
    <w:rsid w:val="00503F5B"/>
    <w:rsid w:val="00510C13"/>
    <w:rsid w:val="005135FB"/>
    <w:rsid w:val="005155F2"/>
    <w:rsid w:val="0052481A"/>
    <w:rsid w:val="00527302"/>
    <w:rsid w:val="00531C64"/>
    <w:rsid w:val="00533576"/>
    <w:rsid w:val="00544B1E"/>
    <w:rsid w:val="005517C4"/>
    <w:rsid w:val="005557FF"/>
    <w:rsid w:val="00555BC3"/>
    <w:rsid w:val="00560751"/>
    <w:rsid w:val="0056480F"/>
    <w:rsid w:val="00566DA5"/>
    <w:rsid w:val="005710C7"/>
    <w:rsid w:val="0057162E"/>
    <w:rsid w:val="005771DF"/>
    <w:rsid w:val="005813B5"/>
    <w:rsid w:val="005848DA"/>
    <w:rsid w:val="00593D6C"/>
    <w:rsid w:val="005947E7"/>
    <w:rsid w:val="0059588F"/>
    <w:rsid w:val="0059753E"/>
    <w:rsid w:val="00597FCD"/>
    <w:rsid w:val="005A4937"/>
    <w:rsid w:val="005A6B79"/>
    <w:rsid w:val="005B47F1"/>
    <w:rsid w:val="005D2F73"/>
    <w:rsid w:val="005D3DE4"/>
    <w:rsid w:val="00615AA2"/>
    <w:rsid w:val="00634086"/>
    <w:rsid w:val="00634DBD"/>
    <w:rsid w:val="006351D1"/>
    <w:rsid w:val="00637B41"/>
    <w:rsid w:val="00640DC1"/>
    <w:rsid w:val="006529BE"/>
    <w:rsid w:val="006700B5"/>
    <w:rsid w:val="006708B8"/>
    <w:rsid w:val="0067160D"/>
    <w:rsid w:val="00683207"/>
    <w:rsid w:val="0068431D"/>
    <w:rsid w:val="00684B8A"/>
    <w:rsid w:val="00684C73"/>
    <w:rsid w:val="006900F5"/>
    <w:rsid w:val="006A6B06"/>
    <w:rsid w:val="006B09E8"/>
    <w:rsid w:val="006B13B8"/>
    <w:rsid w:val="006B789E"/>
    <w:rsid w:val="006C0582"/>
    <w:rsid w:val="006C06A2"/>
    <w:rsid w:val="006D165F"/>
    <w:rsid w:val="006F1259"/>
    <w:rsid w:val="00700983"/>
    <w:rsid w:val="00700C2D"/>
    <w:rsid w:val="00700D63"/>
    <w:rsid w:val="0070336B"/>
    <w:rsid w:val="00710974"/>
    <w:rsid w:val="0071440D"/>
    <w:rsid w:val="00716A1A"/>
    <w:rsid w:val="00717464"/>
    <w:rsid w:val="00732158"/>
    <w:rsid w:val="007321B6"/>
    <w:rsid w:val="007474D7"/>
    <w:rsid w:val="00760050"/>
    <w:rsid w:val="00772131"/>
    <w:rsid w:val="00776C48"/>
    <w:rsid w:val="007834CD"/>
    <w:rsid w:val="0079298A"/>
    <w:rsid w:val="007966A7"/>
    <w:rsid w:val="007A5087"/>
    <w:rsid w:val="007B0850"/>
    <w:rsid w:val="007C2024"/>
    <w:rsid w:val="007C6402"/>
    <w:rsid w:val="007E1A57"/>
    <w:rsid w:val="007E7595"/>
    <w:rsid w:val="007E7E22"/>
    <w:rsid w:val="0080641D"/>
    <w:rsid w:val="00810DAF"/>
    <w:rsid w:val="00811BAF"/>
    <w:rsid w:val="0081740B"/>
    <w:rsid w:val="00825E7B"/>
    <w:rsid w:val="00827F20"/>
    <w:rsid w:val="008316F3"/>
    <w:rsid w:val="00832A04"/>
    <w:rsid w:val="00834583"/>
    <w:rsid w:val="00847F82"/>
    <w:rsid w:val="00852466"/>
    <w:rsid w:val="008547E7"/>
    <w:rsid w:val="00864980"/>
    <w:rsid w:val="008652F6"/>
    <w:rsid w:val="008670B7"/>
    <w:rsid w:val="00867A60"/>
    <w:rsid w:val="0087493E"/>
    <w:rsid w:val="00886985"/>
    <w:rsid w:val="008936AF"/>
    <w:rsid w:val="00893FE2"/>
    <w:rsid w:val="008952AC"/>
    <w:rsid w:val="00895CA3"/>
    <w:rsid w:val="008A119A"/>
    <w:rsid w:val="008B1145"/>
    <w:rsid w:val="008B1E0A"/>
    <w:rsid w:val="008B2966"/>
    <w:rsid w:val="008B34D9"/>
    <w:rsid w:val="008C1DE1"/>
    <w:rsid w:val="008C3F1A"/>
    <w:rsid w:val="008C5D17"/>
    <w:rsid w:val="008E2BBE"/>
    <w:rsid w:val="008E482C"/>
    <w:rsid w:val="008F1F8C"/>
    <w:rsid w:val="008F6F64"/>
    <w:rsid w:val="00906D52"/>
    <w:rsid w:val="00907ADA"/>
    <w:rsid w:val="00912344"/>
    <w:rsid w:val="00916D95"/>
    <w:rsid w:val="009403C1"/>
    <w:rsid w:val="009418CC"/>
    <w:rsid w:val="009444CE"/>
    <w:rsid w:val="0094493F"/>
    <w:rsid w:val="00955057"/>
    <w:rsid w:val="00960E86"/>
    <w:rsid w:val="009641CE"/>
    <w:rsid w:val="009657BC"/>
    <w:rsid w:val="00974D9B"/>
    <w:rsid w:val="0097557F"/>
    <w:rsid w:val="00977452"/>
    <w:rsid w:val="00984F72"/>
    <w:rsid w:val="009960AE"/>
    <w:rsid w:val="00997F23"/>
    <w:rsid w:val="009A5DDE"/>
    <w:rsid w:val="009A6C1A"/>
    <w:rsid w:val="009C116D"/>
    <w:rsid w:val="009D49F1"/>
    <w:rsid w:val="009E0E27"/>
    <w:rsid w:val="009E3117"/>
    <w:rsid w:val="009E57D3"/>
    <w:rsid w:val="009F73E8"/>
    <w:rsid w:val="00A027D3"/>
    <w:rsid w:val="00A05508"/>
    <w:rsid w:val="00A21787"/>
    <w:rsid w:val="00A31B2A"/>
    <w:rsid w:val="00A32AB5"/>
    <w:rsid w:val="00A41060"/>
    <w:rsid w:val="00A433B1"/>
    <w:rsid w:val="00A46D9D"/>
    <w:rsid w:val="00A510EF"/>
    <w:rsid w:val="00A52530"/>
    <w:rsid w:val="00A5556D"/>
    <w:rsid w:val="00A55EA2"/>
    <w:rsid w:val="00A57C99"/>
    <w:rsid w:val="00A57D73"/>
    <w:rsid w:val="00A61B88"/>
    <w:rsid w:val="00A66006"/>
    <w:rsid w:val="00A72EA5"/>
    <w:rsid w:val="00A740C5"/>
    <w:rsid w:val="00A75686"/>
    <w:rsid w:val="00A77ECF"/>
    <w:rsid w:val="00A85479"/>
    <w:rsid w:val="00A911CA"/>
    <w:rsid w:val="00A915EE"/>
    <w:rsid w:val="00A9409A"/>
    <w:rsid w:val="00A94ED6"/>
    <w:rsid w:val="00AA38D6"/>
    <w:rsid w:val="00AB2EAC"/>
    <w:rsid w:val="00AB7214"/>
    <w:rsid w:val="00AB730D"/>
    <w:rsid w:val="00AC1B5E"/>
    <w:rsid w:val="00AC5AEF"/>
    <w:rsid w:val="00AD4275"/>
    <w:rsid w:val="00AE3358"/>
    <w:rsid w:val="00AF2C6E"/>
    <w:rsid w:val="00AF70F4"/>
    <w:rsid w:val="00B03923"/>
    <w:rsid w:val="00B07D86"/>
    <w:rsid w:val="00B139F3"/>
    <w:rsid w:val="00B157B9"/>
    <w:rsid w:val="00B15ACA"/>
    <w:rsid w:val="00B22AB0"/>
    <w:rsid w:val="00B33BE4"/>
    <w:rsid w:val="00B3606B"/>
    <w:rsid w:val="00B36FC1"/>
    <w:rsid w:val="00B46621"/>
    <w:rsid w:val="00B478F0"/>
    <w:rsid w:val="00B56240"/>
    <w:rsid w:val="00B63C72"/>
    <w:rsid w:val="00B64BD3"/>
    <w:rsid w:val="00B732DE"/>
    <w:rsid w:val="00B738A2"/>
    <w:rsid w:val="00B77F15"/>
    <w:rsid w:val="00B83ADA"/>
    <w:rsid w:val="00BB5C65"/>
    <w:rsid w:val="00BB69DF"/>
    <w:rsid w:val="00BC02EF"/>
    <w:rsid w:val="00BC2B05"/>
    <w:rsid w:val="00BC2B91"/>
    <w:rsid w:val="00BC31C8"/>
    <w:rsid w:val="00BC7B43"/>
    <w:rsid w:val="00BE49E8"/>
    <w:rsid w:val="00BE5EA9"/>
    <w:rsid w:val="00BF297C"/>
    <w:rsid w:val="00BF329B"/>
    <w:rsid w:val="00BF6419"/>
    <w:rsid w:val="00C02D9B"/>
    <w:rsid w:val="00C07835"/>
    <w:rsid w:val="00C109A6"/>
    <w:rsid w:val="00C15DE4"/>
    <w:rsid w:val="00C2037D"/>
    <w:rsid w:val="00C326EA"/>
    <w:rsid w:val="00C34AC9"/>
    <w:rsid w:val="00C3787C"/>
    <w:rsid w:val="00C47037"/>
    <w:rsid w:val="00C479AE"/>
    <w:rsid w:val="00C5351E"/>
    <w:rsid w:val="00C60093"/>
    <w:rsid w:val="00C65D69"/>
    <w:rsid w:val="00C734C9"/>
    <w:rsid w:val="00C814C9"/>
    <w:rsid w:val="00C8166F"/>
    <w:rsid w:val="00C90FE7"/>
    <w:rsid w:val="00C919F5"/>
    <w:rsid w:val="00C93E46"/>
    <w:rsid w:val="00CA1A68"/>
    <w:rsid w:val="00CA4377"/>
    <w:rsid w:val="00CA7241"/>
    <w:rsid w:val="00CB1501"/>
    <w:rsid w:val="00CB4433"/>
    <w:rsid w:val="00CB6FF1"/>
    <w:rsid w:val="00CC4A96"/>
    <w:rsid w:val="00CC7D58"/>
    <w:rsid w:val="00CD1FB7"/>
    <w:rsid w:val="00CE1AF6"/>
    <w:rsid w:val="00CE70DC"/>
    <w:rsid w:val="00CF3055"/>
    <w:rsid w:val="00CF64DF"/>
    <w:rsid w:val="00D01D4E"/>
    <w:rsid w:val="00D03F49"/>
    <w:rsid w:val="00D04EB7"/>
    <w:rsid w:val="00D21B93"/>
    <w:rsid w:val="00D24623"/>
    <w:rsid w:val="00D3082C"/>
    <w:rsid w:val="00D34C0C"/>
    <w:rsid w:val="00D513F3"/>
    <w:rsid w:val="00D532CC"/>
    <w:rsid w:val="00D570C1"/>
    <w:rsid w:val="00D57433"/>
    <w:rsid w:val="00D61B59"/>
    <w:rsid w:val="00D61B62"/>
    <w:rsid w:val="00D72CA3"/>
    <w:rsid w:val="00D90C71"/>
    <w:rsid w:val="00D9160B"/>
    <w:rsid w:val="00D971FB"/>
    <w:rsid w:val="00DA523C"/>
    <w:rsid w:val="00DA737E"/>
    <w:rsid w:val="00DB265A"/>
    <w:rsid w:val="00DC15D6"/>
    <w:rsid w:val="00DC35BA"/>
    <w:rsid w:val="00DD09C1"/>
    <w:rsid w:val="00DD3025"/>
    <w:rsid w:val="00DD7736"/>
    <w:rsid w:val="00DE0447"/>
    <w:rsid w:val="00DE728A"/>
    <w:rsid w:val="00E02B03"/>
    <w:rsid w:val="00E06313"/>
    <w:rsid w:val="00E1162F"/>
    <w:rsid w:val="00E32D80"/>
    <w:rsid w:val="00E33DA4"/>
    <w:rsid w:val="00E502CE"/>
    <w:rsid w:val="00E605B5"/>
    <w:rsid w:val="00E640E0"/>
    <w:rsid w:val="00E64BEE"/>
    <w:rsid w:val="00E74892"/>
    <w:rsid w:val="00E8046F"/>
    <w:rsid w:val="00EB21DC"/>
    <w:rsid w:val="00EB7A85"/>
    <w:rsid w:val="00EC1873"/>
    <w:rsid w:val="00EC39CA"/>
    <w:rsid w:val="00ED20BB"/>
    <w:rsid w:val="00EF75FA"/>
    <w:rsid w:val="00EF77CF"/>
    <w:rsid w:val="00F00F2E"/>
    <w:rsid w:val="00F04C04"/>
    <w:rsid w:val="00F4080B"/>
    <w:rsid w:val="00F40B2C"/>
    <w:rsid w:val="00F454B5"/>
    <w:rsid w:val="00F47B33"/>
    <w:rsid w:val="00F507E3"/>
    <w:rsid w:val="00F50AF9"/>
    <w:rsid w:val="00F5732E"/>
    <w:rsid w:val="00F66002"/>
    <w:rsid w:val="00F7215E"/>
    <w:rsid w:val="00F733D1"/>
    <w:rsid w:val="00F769E1"/>
    <w:rsid w:val="00F906AC"/>
    <w:rsid w:val="00F958D3"/>
    <w:rsid w:val="00F95A15"/>
    <w:rsid w:val="00FB0C98"/>
    <w:rsid w:val="00FB1AE2"/>
    <w:rsid w:val="00FB5428"/>
    <w:rsid w:val="00FC0AC7"/>
    <w:rsid w:val="00FC193A"/>
    <w:rsid w:val="00FC40F1"/>
    <w:rsid w:val="00FD22FA"/>
    <w:rsid w:val="00FD7E5C"/>
    <w:rsid w:val="00FF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2FAF9"/>
  <w15:chartTrackingRefBased/>
  <w15:docId w15:val="{4DFF2111-FE81-431C-92AA-179E9456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00F"/>
    <w:pPr>
      <w:ind w:left="720"/>
      <w:contextualSpacing/>
    </w:pPr>
  </w:style>
  <w:style w:type="paragraph" w:styleId="BalloonText">
    <w:name w:val="Balloon Text"/>
    <w:basedOn w:val="Normal"/>
    <w:link w:val="BalloonTextChar"/>
    <w:uiPriority w:val="99"/>
    <w:semiHidden/>
    <w:unhideWhenUsed/>
    <w:rsid w:val="00CD1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B7"/>
    <w:rPr>
      <w:rFonts w:ascii="Segoe UI" w:hAnsi="Segoe UI" w:cs="Segoe UI"/>
      <w:sz w:val="18"/>
      <w:szCs w:val="18"/>
    </w:rPr>
  </w:style>
  <w:style w:type="character" w:styleId="Hyperlink">
    <w:name w:val="Hyperlink"/>
    <w:uiPriority w:val="99"/>
    <w:unhideWhenUsed/>
    <w:rsid w:val="00566DA5"/>
    <w:rPr>
      <w:color w:val="0000FF"/>
      <w:u w:val="single"/>
    </w:rPr>
  </w:style>
  <w:style w:type="character" w:styleId="UnresolvedMention">
    <w:name w:val="Unresolved Mention"/>
    <w:basedOn w:val="DefaultParagraphFont"/>
    <w:uiPriority w:val="99"/>
    <w:semiHidden/>
    <w:unhideWhenUsed/>
    <w:rsid w:val="00BF297C"/>
    <w:rPr>
      <w:color w:val="605E5C"/>
      <w:shd w:val="clear" w:color="auto" w:fill="E1DFDD"/>
    </w:rPr>
  </w:style>
  <w:style w:type="character" w:styleId="FollowedHyperlink">
    <w:name w:val="FollowedHyperlink"/>
    <w:basedOn w:val="DefaultParagraphFont"/>
    <w:uiPriority w:val="99"/>
    <w:semiHidden/>
    <w:unhideWhenUsed/>
    <w:rsid w:val="00E502CE"/>
    <w:rPr>
      <w:color w:val="954F72" w:themeColor="followedHyperlink"/>
      <w:u w:val="single"/>
    </w:rPr>
  </w:style>
  <w:style w:type="paragraph" w:styleId="BodyText">
    <w:name w:val="Body Text"/>
    <w:basedOn w:val="Normal"/>
    <w:link w:val="BodyTextChar"/>
    <w:unhideWhenUsed/>
    <w:rsid w:val="00347F47"/>
    <w:pPr>
      <w:autoSpaceDE w:val="0"/>
      <w:autoSpaceDN w:val="0"/>
      <w:adjustRightInd w:val="0"/>
      <w:snapToGrid w:val="0"/>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47F47"/>
    <w:rPr>
      <w:rFonts w:ascii="Times New Roman" w:eastAsia="Times New Roman" w:hAnsi="Times New Roman" w:cs="Times New Roman"/>
      <w:sz w:val="24"/>
      <w:szCs w:val="24"/>
    </w:rPr>
  </w:style>
  <w:style w:type="paragraph" w:customStyle="1" w:styleId="APA">
    <w:name w:val="APA"/>
    <w:basedOn w:val="BodyText"/>
    <w:rsid w:val="00D971FB"/>
    <w:pPr>
      <w:overflowPunct w:val="0"/>
      <w:snapToGrid/>
      <w:textAlignment w:val="baseline"/>
    </w:pPr>
    <w:rPr>
      <w:szCs w:val="20"/>
    </w:rPr>
  </w:style>
  <w:style w:type="paragraph" w:customStyle="1" w:styleId="APAHeading1">
    <w:name w:val="APA Heading 1"/>
    <w:basedOn w:val="Normal"/>
    <w:next w:val="Normal"/>
    <w:rsid w:val="00544B1E"/>
    <w:pPr>
      <w:overflowPunct w:val="0"/>
      <w:autoSpaceDE w:val="0"/>
      <w:autoSpaceDN w:val="0"/>
      <w:adjustRightInd w:val="0"/>
      <w:spacing w:after="0" w:line="480" w:lineRule="auto"/>
      <w:jc w:val="center"/>
      <w:textAlignment w:val="baseline"/>
      <w:outlineLvl w:val="0"/>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5126">
      <w:bodyDiv w:val="1"/>
      <w:marLeft w:val="0"/>
      <w:marRight w:val="0"/>
      <w:marTop w:val="0"/>
      <w:marBottom w:val="0"/>
      <w:divBdr>
        <w:top w:val="none" w:sz="0" w:space="0" w:color="auto"/>
        <w:left w:val="none" w:sz="0" w:space="0" w:color="auto"/>
        <w:bottom w:val="none" w:sz="0" w:space="0" w:color="auto"/>
        <w:right w:val="none" w:sz="0" w:space="0" w:color="auto"/>
      </w:divBdr>
      <w:divsChild>
        <w:div w:id="1411463638">
          <w:marLeft w:val="360"/>
          <w:marRight w:val="0"/>
          <w:marTop w:val="200"/>
          <w:marBottom w:val="0"/>
          <w:divBdr>
            <w:top w:val="none" w:sz="0" w:space="0" w:color="auto"/>
            <w:left w:val="none" w:sz="0" w:space="0" w:color="auto"/>
            <w:bottom w:val="none" w:sz="0" w:space="0" w:color="auto"/>
            <w:right w:val="none" w:sz="0" w:space="0" w:color="auto"/>
          </w:divBdr>
        </w:div>
        <w:div w:id="2132699946">
          <w:marLeft w:val="360"/>
          <w:marRight w:val="0"/>
          <w:marTop w:val="200"/>
          <w:marBottom w:val="0"/>
          <w:divBdr>
            <w:top w:val="none" w:sz="0" w:space="0" w:color="auto"/>
            <w:left w:val="none" w:sz="0" w:space="0" w:color="auto"/>
            <w:bottom w:val="none" w:sz="0" w:space="0" w:color="auto"/>
            <w:right w:val="none" w:sz="0" w:space="0" w:color="auto"/>
          </w:divBdr>
        </w:div>
        <w:div w:id="1505515725">
          <w:marLeft w:val="360"/>
          <w:marRight w:val="0"/>
          <w:marTop w:val="200"/>
          <w:marBottom w:val="0"/>
          <w:divBdr>
            <w:top w:val="none" w:sz="0" w:space="0" w:color="auto"/>
            <w:left w:val="none" w:sz="0" w:space="0" w:color="auto"/>
            <w:bottom w:val="none" w:sz="0" w:space="0" w:color="auto"/>
            <w:right w:val="none" w:sz="0" w:space="0" w:color="auto"/>
          </w:divBdr>
        </w:div>
        <w:div w:id="1002243723">
          <w:marLeft w:val="360"/>
          <w:marRight w:val="0"/>
          <w:marTop w:val="200"/>
          <w:marBottom w:val="0"/>
          <w:divBdr>
            <w:top w:val="none" w:sz="0" w:space="0" w:color="auto"/>
            <w:left w:val="none" w:sz="0" w:space="0" w:color="auto"/>
            <w:bottom w:val="none" w:sz="0" w:space="0" w:color="auto"/>
            <w:right w:val="none" w:sz="0" w:space="0" w:color="auto"/>
          </w:divBdr>
        </w:div>
      </w:divsChild>
    </w:div>
    <w:div w:id="167406580">
      <w:bodyDiv w:val="1"/>
      <w:marLeft w:val="0"/>
      <w:marRight w:val="0"/>
      <w:marTop w:val="0"/>
      <w:marBottom w:val="0"/>
      <w:divBdr>
        <w:top w:val="none" w:sz="0" w:space="0" w:color="auto"/>
        <w:left w:val="none" w:sz="0" w:space="0" w:color="auto"/>
        <w:bottom w:val="none" w:sz="0" w:space="0" w:color="auto"/>
        <w:right w:val="none" w:sz="0" w:space="0" w:color="auto"/>
      </w:divBdr>
      <w:divsChild>
        <w:div w:id="223293730">
          <w:marLeft w:val="360"/>
          <w:marRight w:val="0"/>
          <w:marTop w:val="200"/>
          <w:marBottom w:val="0"/>
          <w:divBdr>
            <w:top w:val="none" w:sz="0" w:space="0" w:color="auto"/>
            <w:left w:val="none" w:sz="0" w:space="0" w:color="auto"/>
            <w:bottom w:val="none" w:sz="0" w:space="0" w:color="auto"/>
            <w:right w:val="none" w:sz="0" w:space="0" w:color="auto"/>
          </w:divBdr>
        </w:div>
        <w:div w:id="1118063147">
          <w:marLeft w:val="360"/>
          <w:marRight w:val="0"/>
          <w:marTop w:val="200"/>
          <w:marBottom w:val="0"/>
          <w:divBdr>
            <w:top w:val="none" w:sz="0" w:space="0" w:color="auto"/>
            <w:left w:val="none" w:sz="0" w:space="0" w:color="auto"/>
            <w:bottom w:val="none" w:sz="0" w:space="0" w:color="auto"/>
            <w:right w:val="none" w:sz="0" w:space="0" w:color="auto"/>
          </w:divBdr>
        </w:div>
        <w:div w:id="312947026">
          <w:marLeft w:val="360"/>
          <w:marRight w:val="0"/>
          <w:marTop w:val="200"/>
          <w:marBottom w:val="0"/>
          <w:divBdr>
            <w:top w:val="none" w:sz="0" w:space="0" w:color="auto"/>
            <w:left w:val="none" w:sz="0" w:space="0" w:color="auto"/>
            <w:bottom w:val="none" w:sz="0" w:space="0" w:color="auto"/>
            <w:right w:val="none" w:sz="0" w:space="0" w:color="auto"/>
          </w:divBdr>
        </w:div>
        <w:div w:id="2016298377">
          <w:marLeft w:val="360"/>
          <w:marRight w:val="0"/>
          <w:marTop w:val="200"/>
          <w:marBottom w:val="0"/>
          <w:divBdr>
            <w:top w:val="none" w:sz="0" w:space="0" w:color="auto"/>
            <w:left w:val="none" w:sz="0" w:space="0" w:color="auto"/>
            <w:bottom w:val="none" w:sz="0" w:space="0" w:color="auto"/>
            <w:right w:val="none" w:sz="0" w:space="0" w:color="auto"/>
          </w:divBdr>
        </w:div>
        <w:div w:id="1721050552">
          <w:marLeft w:val="360"/>
          <w:marRight w:val="0"/>
          <w:marTop w:val="200"/>
          <w:marBottom w:val="0"/>
          <w:divBdr>
            <w:top w:val="none" w:sz="0" w:space="0" w:color="auto"/>
            <w:left w:val="none" w:sz="0" w:space="0" w:color="auto"/>
            <w:bottom w:val="none" w:sz="0" w:space="0" w:color="auto"/>
            <w:right w:val="none" w:sz="0" w:space="0" w:color="auto"/>
          </w:divBdr>
        </w:div>
      </w:divsChild>
    </w:div>
    <w:div w:id="574556014">
      <w:bodyDiv w:val="1"/>
      <w:marLeft w:val="0"/>
      <w:marRight w:val="0"/>
      <w:marTop w:val="0"/>
      <w:marBottom w:val="0"/>
      <w:divBdr>
        <w:top w:val="none" w:sz="0" w:space="0" w:color="auto"/>
        <w:left w:val="none" w:sz="0" w:space="0" w:color="auto"/>
        <w:bottom w:val="none" w:sz="0" w:space="0" w:color="auto"/>
        <w:right w:val="none" w:sz="0" w:space="0" w:color="auto"/>
      </w:divBdr>
    </w:div>
    <w:div w:id="595292161">
      <w:bodyDiv w:val="1"/>
      <w:marLeft w:val="0"/>
      <w:marRight w:val="0"/>
      <w:marTop w:val="0"/>
      <w:marBottom w:val="0"/>
      <w:divBdr>
        <w:top w:val="none" w:sz="0" w:space="0" w:color="auto"/>
        <w:left w:val="none" w:sz="0" w:space="0" w:color="auto"/>
        <w:bottom w:val="none" w:sz="0" w:space="0" w:color="auto"/>
        <w:right w:val="none" w:sz="0" w:space="0" w:color="auto"/>
      </w:divBdr>
      <w:divsChild>
        <w:div w:id="1148981534">
          <w:marLeft w:val="360"/>
          <w:marRight w:val="0"/>
          <w:marTop w:val="200"/>
          <w:marBottom w:val="0"/>
          <w:divBdr>
            <w:top w:val="none" w:sz="0" w:space="0" w:color="auto"/>
            <w:left w:val="none" w:sz="0" w:space="0" w:color="auto"/>
            <w:bottom w:val="none" w:sz="0" w:space="0" w:color="auto"/>
            <w:right w:val="none" w:sz="0" w:space="0" w:color="auto"/>
          </w:divBdr>
        </w:div>
        <w:div w:id="2102799934">
          <w:marLeft w:val="360"/>
          <w:marRight w:val="0"/>
          <w:marTop w:val="200"/>
          <w:marBottom w:val="0"/>
          <w:divBdr>
            <w:top w:val="none" w:sz="0" w:space="0" w:color="auto"/>
            <w:left w:val="none" w:sz="0" w:space="0" w:color="auto"/>
            <w:bottom w:val="none" w:sz="0" w:space="0" w:color="auto"/>
            <w:right w:val="none" w:sz="0" w:space="0" w:color="auto"/>
          </w:divBdr>
        </w:div>
        <w:div w:id="1902715336">
          <w:marLeft w:val="360"/>
          <w:marRight w:val="0"/>
          <w:marTop w:val="200"/>
          <w:marBottom w:val="0"/>
          <w:divBdr>
            <w:top w:val="none" w:sz="0" w:space="0" w:color="auto"/>
            <w:left w:val="none" w:sz="0" w:space="0" w:color="auto"/>
            <w:bottom w:val="none" w:sz="0" w:space="0" w:color="auto"/>
            <w:right w:val="none" w:sz="0" w:space="0" w:color="auto"/>
          </w:divBdr>
        </w:div>
        <w:div w:id="1889300815">
          <w:marLeft w:val="360"/>
          <w:marRight w:val="0"/>
          <w:marTop w:val="200"/>
          <w:marBottom w:val="0"/>
          <w:divBdr>
            <w:top w:val="none" w:sz="0" w:space="0" w:color="auto"/>
            <w:left w:val="none" w:sz="0" w:space="0" w:color="auto"/>
            <w:bottom w:val="none" w:sz="0" w:space="0" w:color="auto"/>
            <w:right w:val="none" w:sz="0" w:space="0" w:color="auto"/>
          </w:divBdr>
        </w:div>
        <w:div w:id="1898857865">
          <w:marLeft w:val="360"/>
          <w:marRight w:val="0"/>
          <w:marTop w:val="200"/>
          <w:marBottom w:val="0"/>
          <w:divBdr>
            <w:top w:val="none" w:sz="0" w:space="0" w:color="auto"/>
            <w:left w:val="none" w:sz="0" w:space="0" w:color="auto"/>
            <w:bottom w:val="none" w:sz="0" w:space="0" w:color="auto"/>
            <w:right w:val="none" w:sz="0" w:space="0" w:color="auto"/>
          </w:divBdr>
        </w:div>
      </w:divsChild>
    </w:div>
    <w:div w:id="911231925">
      <w:bodyDiv w:val="1"/>
      <w:marLeft w:val="0"/>
      <w:marRight w:val="0"/>
      <w:marTop w:val="0"/>
      <w:marBottom w:val="0"/>
      <w:divBdr>
        <w:top w:val="none" w:sz="0" w:space="0" w:color="auto"/>
        <w:left w:val="none" w:sz="0" w:space="0" w:color="auto"/>
        <w:bottom w:val="none" w:sz="0" w:space="0" w:color="auto"/>
        <w:right w:val="none" w:sz="0" w:space="0" w:color="auto"/>
      </w:divBdr>
    </w:div>
    <w:div w:id="964310695">
      <w:bodyDiv w:val="1"/>
      <w:marLeft w:val="0"/>
      <w:marRight w:val="0"/>
      <w:marTop w:val="0"/>
      <w:marBottom w:val="0"/>
      <w:divBdr>
        <w:top w:val="none" w:sz="0" w:space="0" w:color="auto"/>
        <w:left w:val="none" w:sz="0" w:space="0" w:color="auto"/>
        <w:bottom w:val="none" w:sz="0" w:space="0" w:color="auto"/>
        <w:right w:val="none" w:sz="0" w:space="0" w:color="auto"/>
      </w:divBdr>
    </w:div>
    <w:div w:id="1210000408">
      <w:bodyDiv w:val="1"/>
      <w:marLeft w:val="0"/>
      <w:marRight w:val="0"/>
      <w:marTop w:val="0"/>
      <w:marBottom w:val="0"/>
      <w:divBdr>
        <w:top w:val="none" w:sz="0" w:space="0" w:color="auto"/>
        <w:left w:val="none" w:sz="0" w:space="0" w:color="auto"/>
        <w:bottom w:val="none" w:sz="0" w:space="0" w:color="auto"/>
        <w:right w:val="none" w:sz="0" w:space="0" w:color="auto"/>
      </w:divBdr>
      <w:divsChild>
        <w:div w:id="2048068064">
          <w:marLeft w:val="360"/>
          <w:marRight w:val="0"/>
          <w:marTop w:val="200"/>
          <w:marBottom w:val="0"/>
          <w:divBdr>
            <w:top w:val="none" w:sz="0" w:space="0" w:color="auto"/>
            <w:left w:val="none" w:sz="0" w:space="0" w:color="auto"/>
            <w:bottom w:val="none" w:sz="0" w:space="0" w:color="auto"/>
            <w:right w:val="none" w:sz="0" w:space="0" w:color="auto"/>
          </w:divBdr>
        </w:div>
        <w:div w:id="2144081410">
          <w:marLeft w:val="360"/>
          <w:marRight w:val="0"/>
          <w:marTop w:val="200"/>
          <w:marBottom w:val="0"/>
          <w:divBdr>
            <w:top w:val="none" w:sz="0" w:space="0" w:color="auto"/>
            <w:left w:val="none" w:sz="0" w:space="0" w:color="auto"/>
            <w:bottom w:val="none" w:sz="0" w:space="0" w:color="auto"/>
            <w:right w:val="none" w:sz="0" w:space="0" w:color="auto"/>
          </w:divBdr>
        </w:div>
        <w:div w:id="693847553">
          <w:marLeft w:val="360"/>
          <w:marRight w:val="0"/>
          <w:marTop w:val="200"/>
          <w:marBottom w:val="0"/>
          <w:divBdr>
            <w:top w:val="none" w:sz="0" w:space="0" w:color="auto"/>
            <w:left w:val="none" w:sz="0" w:space="0" w:color="auto"/>
            <w:bottom w:val="none" w:sz="0" w:space="0" w:color="auto"/>
            <w:right w:val="none" w:sz="0" w:space="0" w:color="auto"/>
          </w:divBdr>
        </w:div>
        <w:div w:id="198014799">
          <w:marLeft w:val="360"/>
          <w:marRight w:val="0"/>
          <w:marTop w:val="200"/>
          <w:marBottom w:val="0"/>
          <w:divBdr>
            <w:top w:val="none" w:sz="0" w:space="0" w:color="auto"/>
            <w:left w:val="none" w:sz="0" w:space="0" w:color="auto"/>
            <w:bottom w:val="none" w:sz="0" w:space="0" w:color="auto"/>
            <w:right w:val="none" w:sz="0" w:space="0" w:color="auto"/>
          </w:divBdr>
        </w:div>
      </w:divsChild>
    </w:div>
    <w:div w:id="1228297298">
      <w:bodyDiv w:val="1"/>
      <w:marLeft w:val="0"/>
      <w:marRight w:val="0"/>
      <w:marTop w:val="0"/>
      <w:marBottom w:val="0"/>
      <w:divBdr>
        <w:top w:val="none" w:sz="0" w:space="0" w:color="auto"/>
        <w:left w:val="none" w:sz="0" w:space="0" w:color="auto"/>
        <w:bottom w:val="none" w:sz="0" w:space="0" w:color="auto"/>
        <w:right w:val="none" w:sz="0" w:space="0" w:color="auto"/>
      </w:divBdr>
      <w:divsChild>
        <w:div w:id="164787083">
          <w:marLeft w:val="360"/>
          <w:marRight w:val="0"/>
          <w:marTop w:val="200"/>
          <w:marBottom w:val="0"/>
          <w:divBdr>
            <w:top w:val="none" w:sz="0" w:space="0" w:color="auto"/>
            <w:left w:val="none" w:sz="0" w:space="0" w:color="auto"/>
            <w:bottom w:val="none" w:sz="0" w:space="0" w:color="auto"/>
            <w:right w:val="none" w:sz="0" w:space="0" w:color="auto"/>
          </w:divBdr>
        </w:div>
        <w:div w:id="2056805466">
          <w:marLeft w:val="360"/>
          <w:marRight w:val="0"/>
          <w:marTop w:val="200"/>
          <w:marBottom w:val="0"/>
          <w:divBdr>
            <w:top w:val="none" w:sz="0" w:space="0" w:color="auto"/>
            <w:left w:val="none" w:sz="0" w:space="0" w:color="auto"/>
            <w:bottom w:val="none" w:sz="0" w:space="0" w:color="auto"/>
            <w:right w:val="none" w:sz="0" w:space="0" w:color="auto"/>
          </w:divBdr>
        </w:div>
        <w:div w:id="2013993926">
          <w:marLeft w:val="360"/>
          <w:marRight w:val="0"/>
          <w:marTop w:val="200"/>
          <w:marBottom w:val="0"/>
          <w:divBdr>
            <w:top w:val="none" w:sz="0" w:space="0" w:color="auto"/>
            <w:left w:val="none" w:sz="0" w:space="0" w:color="auto"/>
            <w:bottom w:val="none" w:sz="0" w:space="0" w:color="auto"/>
            <w:right w:val="none" w:sz="0" w:space="0" w:color="auto"/>
          </w:divBdr>
        </w:div>
        <w:div w:id="183058362">
          <w:marLeft w:val="360"/>
          <w:marRight w:val="0"/>
          <w:marTop w:val="200"/>
          <w:marBottom w:val="0"/>
          <w:divBdr>
            <w:top w:val="none" w:sz="0" w:space="0" w:color="auto"/>
            <w:left w:val="none" w:sz="0" w:space="0" w:color="auto"/>
            <w:bottom w:val="none" w:sz="0" w:space="0" w:color="auto"/>
            <w:right w:val="none" w:sz="0" w:space="0" w:color="auto"/>
          </w:divBdr>
        </w:div>
        <w:div w:id="149444035">
          <w:marLeft w:val="360"/>
          <w:marRight w:val="0"/>
          <w:marTop w:val="200"/>
          <w:marBottom w:val="0"/>
          <w:divBdr>
            <w:top w:val="none" w:sz="0" w:space="0" w:color="auto"/>
            <w:left w:val="none" w:sz="0" w:space="0" w:color="auto"/>
            <w:bottom w:val="none" w:sz="0" w:space="0" w:color="auto"/>
            <w:right w:val="none" w:sz="0" w:space="0" w:color="auto"/>
          </w:divBdr>
        </w:div>
      </w:divsChild>
    </w:div>
    <w:div w:id="17903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XCS.0000000000000402" TargetMode="External"/><Relationship Id="rId18" Type="http://schemas.openxmlformats.org/officeDocument/2006/relationships/hyperlink" Target="https://doi.org/10.5435/JAAOS-D-21-00299" TargetMode="External"/><Relationship Id="rId26" Type="http://schemas.openxmlformats.org/officeDocument/2006/relationships/hyperlink" Target="https://doi.org/10.1016/j.amsurg.2021.07.033" TargetMode="External"/><Relationship Id="rId39" Type="http://schemas.openxmlformats.org/officeDocument/2006/relationships/hyperlink" Target="about:blank" TargetMode="External"/><Relationship Id="rId21" Type="http://schemas.openxmlformats.org/officeDocument/2006/relationships/hyperlink" Target="https://doi:10.1207/s15327965pli0101_1" TargetMode="External"/><Relationship Id="rId34" Type="http://schemas.openxmlformats.org/officeDocument/2006/relationships/hyperlink" Target="about:blank" TargetMode="External"/><Relationship Id="rId7" Type="http://schemas.openxmlformats.org/officeDocument/2006/relationships/hyperlink" Target="https://10.1016/j.jsurg.2020.07.037" TargetMode="External"/><Relationship Id="rId2" Type="http://schemas.openxmlformats.org/officeDocument/2006/relationships/numbering" Target="numbering.xml"/><Relationship Id="rId16" Type="http://schemas.openxmlformats.org/officeDocument/2006/relationships/hyperlink" Target="https://doi.org,acu.idm.oclc.org/10.1001/jamasurg.2021.2378" TargetMode="External"/><Relationship Id="rId20" Type="http://schemas.openxmlformats.org/officeDocument/2006/relationships/hyperlink" Target="https://doi.org/10.1093/jbcr/irab032.300" TargetMode="External"/><Relationship Id="rId29" Type="http://schemas.openxmlformats.org/officeDocument/2006/relationships/hyperlink" Target="https://doi.org/10.1016/j.jsurg.2022.04.00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mericanjournalofsurgery.com/article/S0002-9610(13)00175-X/abstract" TargetMode="External"/><Relationship Id="rId11" Type="http://schemas.openxmlformats.org/officeDocument/2006/relationships/hyperlink" Target="https://doi.org/10.1371/journal.pone.0252778" TargetMode="External"/><Relationship Id="rId24" Type="http://schemas.openxmlformats.org/officeDocument/2006/relationships/hyperlink" Target="https://doi.org/10.1016/j.jamcollsurg.2019.12.003" TargetMode="External"/><Relationship Id="rId32" Type="http://schemas.openxmlformats.org/officeDocument/2006/relationships/hyperlink" Target="about:blank" TargetMode="External"/><Relationship Id="rId37" Type="http://schemas.openxmlformats.org/officeDocument/2006/relationships/hyperlink" Target="https://www.ncbi.nlm.nih.gov/pmc/articles/PMC987285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97/PTS.0b013e3182979b6f" TargetMode="External"/><Relationship Id="rId23" Type="http://schemas.openxmlformats.org/officeDocument/2006/relationships/hyperlink" Target="about:blank" TargetMode="External"/><Relationship Id="rId28" Type="http://schemas.openxmlformats.org/officeDocument/2006/relationships/hyperlink" Target="https://www.sciencedirect.com/science/article/abs/pii/S0002961014003766" TargetMode="External"/><Relationship Id="rId36" Type="http://schemas.openxmlformats.org/officeDocument/2006/relationships/hyperlink" Target="https://doi.10.1007/s40596-017-0849-3" TargetMode="External"/><Relationship Id="rId10" Type="http://schemas.openxmlformats.org/officeDocument/2006/relationships/hyperlink" Target="http://doi.10.1097/pts0000000000000129"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doi.org/10.1016/j.jpedsurg.2020.12.031" TargetMode="External"/><Relationship Id="rId14" Type="http://schemas.openxmlformats.org/officeDocument/2006/relationships/hyperlink" Target="about:blank" TargetMode="External"/><Relationship Id="rId22" Type="http://schemas.openxmlformats.org/officeDocument/2006/relationships/hyperlink" Target="https://www.sciencedirect.com/science/article/pii/S0022346822004456" TargetMode="External"/><Relationship Id="rId27" Type="http://schemas.openxmlformats.org/officeDocument/2006/relationships/hyperlink" Target="https://doi.org/10.1016/j.surg.2010.07.024" TargetMode="External"/><Relationship Id="rId30" Type="http://schemas.openxmlformats.org/officeDocument/2006/relationships/hyperlink" Target="Https://doi.10.1136/qshc.2009.032870" TargetMode="External"/><Relationship Id="rId35" Type="http://schemas.openxmlformats.org/officeDocument/2006/relationships/hyperlink" Target="http://dx.doi.org/10.1016/j.surge.2015.09.002" TargetMode="External"/><Relationship Id="rId8" Type="http://schemas.openxmlformats.org/officeDocument/2006/relationships/hyperlink" Target="https://doi.org/10.1016/j.jamcollsurg.2010.06.393" TargetMode="External"/><Relationship Id="rId3" Type="http://schemas.openxmlformats.org/officeDocument/2006/relationships/styles" Target="styles.xml"/><Relationship Id="rId12" Type="http://schemas.openxmlformats.org/officeDocument/2006/relationships/hyperlink" Target="https://pubmed.ncbi.nlm.nih.gov/32792326" TargetMode="External"/><Relationship Id="rId17" Type="http://schemas.openxmlformats.org/officeDocument/2006/relationships/hyperlink" Target="https://doi.org/10.1016/j.jamcollsurg.2015.09.013"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s://doi.org/10.1016/j.amjsurg.2021.07.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40A6-0AFF-48BB-8581-3FCCA232B991}">
  <ds:schemaRefs>
    <ds:schemaRef ds:uri="http://schemas.openxmlformats.org/officeDocument/2006/bibliography"/>
  </ds:schemaRefs>
</ds:datastoreItem>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Tucker</dc:creator>
  <cp:keywords/>
  <dc:description/>
  <cp:lastModifiedBy>David K. Lee</cp:lastModifiedBy>
  <cp:revision>5</cp:revision>
  <cp:lastPrinted>2017-03-22T19:59:00Z</cp:lastPrinted>
  <dcterms:created xsi:type="dcterms:W3CDTF">2024-09-03T18:14:00Z</dcterms:created>
  <dcterms:modified xsi:type="dcterms:W3CDTF">2024-09-26T18:14:00Z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b463f94d95c6e3bd2cf6dbd2dc2f641333662ac1d603539aea9b322b80da6191</vt:lpwstr>
  </property>
</Properties>
</file>